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5E600">
      <w:pPr>
        <w:keepNext w:val="0"/>
        <w:keepLines w:val="0"/>
        <w:pageBreakBefore w:val="0"/>
        <w:widowControl/>
        <w:kinsoku/>
        <w:wordWrap/>
        <w:overflowPunct/>
        <w:topLinePunct w:val="0"/>
        <w:autoSpaceDE w:val="0"/>
        <w:autoSpaceDN w:val="0"/>
        <w:bidi w:val="0"/>
        <w:adjustRightInd/>
        <w:snapToGrid/>
        <w:spacing w:before="1249" w:beforeLines="400" w:after="0" w:line="730" w:lineRule="exact"/>
        <w:ind w:left="578" w:right="578" w:firstLine="0"/>
        <w:jc w:val="center"/>
        <w:textAlignment w:val="auto"/>
        <w:outlineLvl w:val="0"/>
        <w:rPr>
          <w:rFonts w:hint="eastAsia" w:ascii="方正小标宋简体" w:hAnsi="方正小标宋简体" w:eastAsia="方正小标宋简体" w:cs="方正小标宋简体"/>
          <w:color w:val="000000"/>
          <w:sz w:val="52"/>
        </w:rPr>
      </w:pPr>
      <w:bookmarkStart w:id="0" w:name="_Toc23432"/>
      <w:bookmarkStart w:id="1" w:name="_Toc5503"/>
      <w:bookmarkStart w:id="2" w:name="_Toc17155"/>
    </w:p>
    <w:p w14:paraId="6516A1D0">
      <w:pPr>
        <w:keepNext w:val="0"/>
        <w:keepLines w:val="0"/>
        <w:pageBreakBefore w:val="0"/>
        <w:widowControl/>
        <w:kinsoku/>
        <w:wordWrap/>
        <w:overflowPunct/>
        <w:topLinePunct w:val="0"/>
        <w:autoSpaceDE w:val="0"/>
        <w:autoSpaceDN w:val="0"/>
        <w:bidi w:val="0"/>
        <w:adjustRightInd/>
        <w:snapToGrid/>
        <w:spacing w:before="1249" w:beforeLines="400" w:after="0" w:line="730" w:lineRule="exact"/>
        <w:ind w:left="578" w:right="578" w:firstLine="0"/>
        <w:jc w:val="center"/>
        <w:textAlignment w:val="auto"/>
        <w:outlineLvl w:val="0"/>
        <w:rPr>
          <w:rFonts w:hint="eastAsia" w:ascii="黑体" w:hAnsi="黑体" w:eastAsia="黑体" w:cs="黑体"/>
        </w:rPr>
      </w:pPr>
      <w:r>
        <w:rPr>
          <w:rFonts w:hint="eastAsia" w:ascii="黑体" w:hAnsi="黑体" w:eastAsia="黑体" w:cs="黑体"/>
          <w:color w:val="000000"/>
          <w:sz w:val="52"/>
        </w:rPr>
        <w:t>《</w:t>
      </w:r>
      <w:r>
        <w:rPr>
          <w:rFonts w:hint="eastAsia" w:ascii="黑体" w:hAnsi="黑体" w:eastAsia="黑体" w:cs="黑体"/>
          <w:color w:val="000000"/>
          <w:spacing w:val="0"/>
          <w:sz w:val="52"/>
        </w:rPr>
        <w:t xml:space="preserve">排污单位自行监测技术指南 </w:t>
      </w:r>
      <w:r>
        <w:rPr>
          <w:rFonts w:hint="eastAsia" w:ascii="黑体" w:hAnsi="黑体" w:eastAsia="黑体" w:cs="黑体"/>
          <w:color w:val="000000"/>
          <w:spacing w:val="0"/>
          <w:sz w:val="52"/>
          <w:lang w:eastAsia="zh-CN"/>
        </w:rPr>
        <w:t>兰炭</w:t>
      </w:r>
      <w:r>
        <w:rPr>
          <w:rFonts w:hint="eastAsia" w:ascii="黑体" w:hAnsi="黑体" w:eastAsia="黑体" w:cs="黑体"/>
          <w:color w:val="000000"/>
          <w:spacing w:val="0"/>
          <w:sz w:val="52"/>
        </w:rPr>
        <w:t>工业</w:t>
      </w:r>
      <w:r>
        <w:rPr>
          <w:rFonts w:hint="eastAsia" w:ascii="黑体" w:hAnsi="黑体" w:eastAsia="黑体" w:cs="黑体"/>
          <w:color w:val="000000"/>
          <w:sz w:val="52"/>
        </w:rPr>
        <w:t>》编</w:t>
      </w:r>
      <w:r>
        <w:rPr>
          <w:rFonts w:hint="eastAsia" w:ascii="黑体" w:hAnsi="黑体" w:eastAsia="黑体" w:cs="黑体"/>
          <w:color w:val="000000"/>
          <w:spacing w:val="-2"/>
          <w:sz w:val="52"/>
        </w:rPr>
        <w:t>制</w:t>
      </w:r>
      <w:r>
        <w:rPr>
          <w:rFonts w:hint="eastAsia" w:ascii="黑体" w:hAnsi="黑体" w:eastAsia="黑体" w:cs="黑体"/>
          <w:color w:val="000000"/>
          <w:sz w:val="52"/>
        </w:rPr>
        <w:t>说明</w:t>
      </w:r>
      <w:bookmarkEnd w:id="0"/>
      <w:bookmarkEnd w:id="1"/>
      <w:bookmarkEnd w:id="2"/>
    </w:p>
    <w:p w14:paraId="202432C7">
      <w:pPr>
        <w:widowControl/>
        <w:autoSpaceDE w:val="0"/>
        <w:autoSpaceDN w:val="0"/>
        <w:spacing w:before="1004" w:after="0" w:line="282" w:lineRule="exact"/>
        <w:ind w:left="0" w:right="0" w:firstLine="0"/>
        <w:jc w:val="center"/>
        <w:outlineLvl w:val="0"/>
        <w:rPr>
          <w:rFonts w:hint="eastAsia" w:ascii="黑体" w:hAnsi="黑体" w:eastAsia="黑体" w:cs="黑体"/>
          <w:sz w:val="24"/>
          <w:szCs w:val="24"/>
        </w:rPr>
      </w:pPr>
      <w:bookmarkStart w:id="3" w:name="_Toc20405"/>
      <w:bookmarkStart w:id="4" w:name="_Toc32061"/>
      <w:bookmarkStart w:id="5" w:name="_Toc1888"/>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征求意见稿</w:t>
      </w:r>
      <w:r>
        <w:rPr>
          <w:rFonts w:hint="eastAsia" w:ascii="黑体" w:hAnsi="黑体" w:eastAsia="黑体" w:cs="黑体"/>
          <w:color w:val="000000"/>
          <w:sz w:val="24"/>
          <w:szCs w:val="24"/>
        </w:rPr>
        <w:t>）</w:t>
      </w:r>
      <w:bookmarkEnd w:id="3"/>
      <w:bookmarkEnd w:id="4"/>
      <w:bookmarkEnd w:id="5"/>
    </w:p>
    <w:p w14:paraId="61602B2E">
      <w:pPr>
        <w:widowControl/>
        <w:autoSpaceDE w:val="0"/>
        <w:autoSpaceDN w:val="0"/>
        <w:spacing w:before="6270" w:after="0" w:line="282" w:lineRule="exact"/>
        <w:ind w:left="0" w:right="0" w:firstLine="0"/>
        <w:jc w:val="center"/>
        <w:rPr>
          <w:rFonts w:hint="eastAsia" w:ascii="黑体" w:hAnsi="黑体" w:eastAsia="黑体" w:cs="黑体"/>
        </w:rPr>
      </w:pPr>
      <w:r>
        <w:rPr>
          <w:rFonts w:hint="eastAsia" w:ascii="黑体" w:hAnsi="黑体" w:eastAsia="黑体" w:cs="黑体"/>
          <w:color w:val="000000"/>
          <w:sz w:val="28"/>
        </w:rPr>
        <w:t>标</w:t>
      </w:r>
      <w:r>
        <w:rPr>
          <w:rFonts w:hint="eastAsia" w:ascii="黑体" w:hAnsi="黑体" w:eastAsia="黑体" w:cs="黑体"/>
          <w:color w:val="000000"/>
          <w:spacing w:val="-4"/>
          <w:sz w:val="28"/>
        </w:rPr>
        <w:t>准</w:t>
      </w:r>
      <w:r>
        <w:rPr>
          <w:rFonts w:hint="eastAsia" w:ascii="黑体" w:hAnsi="黑体" w:eastAsia="黑体" w:cs="黑体"/>
          <w:color w:val="000000"/>
          <w:sz w:val="28"/>
        </w:rPr>
        <w:t>编制组</w:t>
      </w:r>
    </w:p>
    <w:p w14:paraId="2A08486D">
      <w:pPr>
        <w:widowControl/>
        <w:autoSpaceDE w:val="0"/>
        <w:autoSpaceDN w:val="0"/>
        <w:spacing w:before="330" w:after="0" w:line="312" w:lineRule="exact"/>
        <w:ind w:left="0" w:right="0" w:firstLine="0"/>
        <w:jc w:val="center"/>
        <w:rPr>
          <w:rFonts w:hint="eastAsia" w:ascii="黑体" w:hAnsi="黑体" w:eastAsia="黑体" w:cs="黑体"/>
          <w:highlight w:val="none"/>
        </w:rPr>
      </w:pPr>
      <w:r>
        <w:rPr>
          <w:rFonts w:hint="eastAsia" w:ascii="黑体" w:hAnsi="黑体" w:eastAsia="黑体" w:cs="黑体"/>
          <w:color w:val="000000"/>
          <w:spacing w:val="2"/>
          <w:sz w:val="28"/>
          <w:highlight w:val="none"/>
        </w:rPr>
        <w:t>2</w:t>
      </w:r>
      <w:r>
        <w:rPr>
          <w:rFonts w:hint="eastAsia" w:ascii="黑体" w:hAnsi="黑体" w:eastAsia="黑体" w:cs="黑体"/>
          <w:color w:val="000000"/>
          <w:spacing w:val="-2"/>
          <w:sz w:val="28"/>
          <w:highlight w:val="none"/>
        </w:rPr>
        <w:t>0</w:t>
      </w:r>
      <w:r>
        <w:rPr>
          <w:rFonts w:hint="eastAsia" w:ascii="黑体" w:hAnsi="黑体" w:eastAsia="黑体" w:cs="黑体"/>
          <w:color w:val="000000"/>
          <w:sz w:val="28"/>
          <w:highlight w:val="none"/>
        </w:rPr>
        <w:t>2</w:t>
      </w:r>
      <w:r>
        <w:rPr>
          <w:rFonts w:hint="eastAsia" w:ascii="黑体" w:hAnsi="黑体" w:eastAsia="黑体" w:cs="黑体"/>
          <w:color w:val="000000"/>
          <w:sz w:val="28"/>
          <w:highlight w:val="none"/>
          <w:lang w:val="en-US" w:eastAsia="zh-CN"/>
        </w:rPr>
        <w:t>5</w:t>
      </w:r>
      <w:r>
        <w:rPr>
          <w:rFonts w:hint="eastAsia" w:ascii="黑体" w:hAnsi="黑体" w:eastAsia="黑体" w:cs="黑体"/>
          <w:color w:val="000000"/>
          <w:spacing w:val="66"/>
          <w:sz w:val="28"/>
          <w:highlight w:val="none"/>
        </w:rPr>
        <w:t>年</w:t>
      </w:r>
      <w:r>
        <w:rPr>
          <w:rFonts w:hint="eastAsia" w:ascii="黑体" w:hAnsi="黑体" w:eastAsia="黑体" w:cs="黑体"/>
          <w:color w:val="000000"/>
          <w:spacing w:val="66"/>
          <w:sz w:val="28"/>
          <w:highlight w:val="none"/>
          <w:lang w:val="en-US" w:eastAsia="zh-CN"/>
        </w:rPr>
        <w:t>3</w:t>
      </w:r>
      <w:r>
        <w:rPr>
          <w:rFonts w:hint="eastAsia" w:ascii="黑体" w:hAnsi="黑体" w:eastAsia="黑体" w:cs="黑体"/>
          <w:color w:val="000000"/>
          <w:sz w:val="28"/>
          <w:highlight w:val="none"/>
        </w:rPr>
        <w:t>月</w:t>
      </w:r>
    </w:p>
    <w:p w14:paraId="7BA8705C">
      <w:pPr>
        <w:jc w:val="center"/>
        <w:rPr>
          <w:rFonts w:hint="eastAsia"/>
          <w:lang w:val="en-US" w:eastAsia="zh-CN"/>
        </w:rPr>
      </w:pPr>
    </w:p>
    <w:p w14:paraId="06E51541">
      <w:pPr>
        <w:jc w:val="center"/>
        <w:rPr>
          <w:rFonts w:hint="eastAsia"/>
          <w:lang w:val="en-US" w:eastAsia="zh-CN"/>
        </w:rPr>
      </w:pPr>
    </w:p>
    <w:p w14:paraId="2F117FDF">
      <w:pPr>
        <w:jc w:val="center"/>
        <w:rPr>
          <w:rFonts w:hint="eastAsia"/>
          <w:lang w:val="en-US" w:eastAsia="zh-CN"/>
        </w:rPr>
      </w:pPr>
    </w:p>
    <w:p w14:paraId="13AF6176">
      <w:pPr>
        <w:jc w:val="center"/>
        <w:rPr>
          <w:rFonts w:hint="eastAsia"/>
          <w:lang w:val="en-US" w:eastAsia="zh-CN"/>
        </w:rPr>
      </w:pPr>
    </w:p>
    <w:p w14:paraId="3AA5A2AB">
      <w:pPr>
        <w:jc w:val="center"/>
        <w:rPr>
          <w:rFonts w:hint="eastAsia"/>
          <w:lang w:val="en-US" w:eastAsia="zh-CN"/>
        </w:rPr>
      </w:pPr>
    </w:p>
    <w:p w14:paraId="54D51740">
      <w:pPr>
        <w:jc w:val="center"/>
        <w:rPr>
          <w:rFonts w:hint="eastAsia"/>
          <w:lang w:val="en-US" w:eastAsia="zh-CN"/>
        </w:rPr>
      </w:pPr>
    </w:p>
    <w:p w14:paraId="33A08A9E">
      <w:pPr>
        <w:jc w:val="center"/>
        <w:rPr>
          <w:rFonts w:hint="eastAsia"/>
          <w:lang w:val="en-US" w:eastAsia="zh-CN"/>
        </w:rPr>
      </w:pPr>
    </w:p>
    <w:p w14:paraId="5EEF7C2C">
      <w:pPr>
        <w:jc w:val="center"/>
        <w:rPr>
          <w:rFonts w:hint="eastAsia"/>
          <w:lang w:val="en-US" w:eastAsia="zh-CN"/>
        </w:rPr>
      </w:pPr>
    </w:p>
    <w:p w14:paraId="462499D2">
      <w:pPr>
        <w:rPr>
          <w:rFonts w:hint="eastAsia" w:ascii="Times New Roman" w:hAnsi="Times New Roman" w:eastAsia="方正小标宋简体"/>
          <w:color w:val="000000"/>
          <w:sz w:val="28"/>
          <w:lang w:val="en-US" w:eastAsia="zh-CN"/>
        </w:rPr>
      </w:pPr>
      <w:r>
        <w:rPr>
          <w:rFonts w:hint="eastAsia" w:ascii="Times New Roman" w:hAnsi="Times New Roman" w:eastAsia="方正小标宋简体"/>
          <w:color w:val="000000"/>
          <w:sz w:val="28"/>
          <w:lang w:val="en-US" w:eastAsia="zh-CN"/>
        </w:rPr>
        <w:br w:type="page"/>
      </w:r>
    </w:p>
    <w:p w14:paraId="096A047E">
      <w:pPr>
        <w:keepNext w:val="0"/>
        <w:keepLines w:val="0"/>
        <w:pageBreakBefore w:val="0"/>
        <w:widowControl/>
        <w:tabs>
          <w:tab w:val="left" w:pos="4862"/>
        </w:tabs>
        <w:kinsoku/>
        <w:wordWrap/>
        <w:overflowPunct/>
        <w:topLinePunct w:val="0"/>
        <w:autoSpaceDE w:val="0"/>
        <w:autoSpaceDN w:val="0"/>
        <w:bidi w:val="0"/>
        <w:adjustRightInd/>
        <w:snapToGrid/>
        <w:spacing w:after="0" w:line="480" w:lineRule="exact"/>
        <w:ind w:left="210" w:leftChars="100" w:right="0" w:firstLine="0"/>
        <w:jc w:val="center"/>
        <w:textAlignment w:val="auto"/>
        <w:rPr>
          <w:rFonts w:hint="eastAsia" w:ascii="Times New Roman" w:hAnsi="Times New Roman" w:eastAsia="方正小标宋简体"/>
          <w:color w:val="000000"/>
          <w:sz w:val="28"/>
          <w:lang w:val="en-US" w:eastAsia="zh-CN"/>
        </w:rPr>
      </w:pPr>
    </w:p>
    <w:sdt>
      <w:sdtPr>
        <w:rPr>
          <w:rFonts w:ascii="宋体" w:hAnsi="宋体" w:eastAsia="宋体" w:cstheme="minorBidi"/>
          <w:kern w:val="2"/>
          <w:sz w:val="21"/>
          <w:szCs w:val="24"/>
          <w:lang w:val="en-US" w:eastAsia="zh-CN" w:bidi="ar-SA"/>
        </w:rPr>
        <w:id w:val="147454131"/>
        <w15:color w:val="DBDBDB"/>
        <w:docPartObj>
          <w:docPartGallery w:val="Table of Contents"/>
          <w:docPartUnique/>
        </w:docPartObj>
      </w:sdtPr>
      <w:sdtEndPr>
        <w:rPr>
          <w:rFonts w:hint="eastAsia" w:ascii="Times New Roman" w:hAnsi="Times New Roman" w:eastAsia="黑体" w:cstheme="minorBidi"/>
          <w:kern w:val="2"/>
          <w:sz w:val="21"/>
          <w:szCs w:val="24"/>
          <w:lang w:val="en-US" w:eastAsia="zh-CN" w:bidi="ar-SA"/>
        </w:rPr>
      </w:sdtEndPr>
      <w:sdtContent>
        <w:p w14:paraId="68FB14EB">
          <w:pPr>
            <w:keepNext w:val="0"/>
            <w:keepLines w:val="0"/>
            <w:pageBreakBefore w:val="0"/>
            <w:widowControl w:val="0"/>
            <w:kinsoku/>
            <w:wordWrap/>
            <w:overflowPunct/>
            <w:topLinePunct w:val="0"/>
            <w:autoSpaceDE/>
            <w:autoSpaceDN/>
            <w:bidi w:val="0"/>
            <w:adjustRightInd/>
            <w:snapToGrid/>
            <w:spacing w:before="850" w:beforeLines="0" w:after="680" w:afterLines="0" w:line="240" w:lineRule="auto"/>
            <w:ind w:left="0" w:leftChars="0" w:right="0" w:rightChars="0" w:firstLine="0" w:firstLineChars="0"/>
            <w:jc w:val="center"/>
            <w:textAlignment w:val="auto"/>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r>
            <w:rPr>
              <w:rFonts w:hint="eastAsia" w:ascii="Times New Roman" w:hAnsi="Times New Roman" w:eastAsia="黑体"/>
              <w:sz w:val="24"/>
              <w:lang w:val="en-US" w:eastAsia="zh-CN"/>
            </w:rPr>
            <w:fldChar w:fldCharType="begin"/>
          </w:r>
          <w:r>
            <w:rPr>
              <w:rFonts w:hint="eastAsia" w:ascii="Times New Roman" w:hAnsi="Times New Roman" w:eastAsia="黑体"/>
              <w:sz w:val="24"/>
              <w:lang w:val="en-US" w:eastAsia="zh-CN"/>
            </w:rPr>
            <w:instrText xml:space="preserve">TOC \o "1-1" \h \u </w:instrText>
          </w:r>
          <w:r>
            <w:rPr>
              <w:rFonts w:hint="eastAsia" w:ascii="Times New Roman" w:hAnsi="Times New Roman" w:eastAsia="黑体"/>
              <w:sz w:val="24"/>
              <w:lang w:val="en-US" w:eastAsia="zh-CN"/>
            </w:rPr>
            <w:fldChar w:fldCharType="separate"/>
          </w:r>
        </w:p>
        <w:p w14:paraId="69C45305">
          <w:pPr>
            <w:pStyle w:val="5"/>
            <w:keepNext w:val="0"/>
            <w:keepLines w:val="0"/>
            <w:pageBreakBefore w:val="0"/>
            <w:widowControl w:val="0"/>
            <w:tabs>
              <w:tab w:val="right" w:leader="dot" w:pos="9026"/>
            </w:tabs>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lang w:val="en-US" w:eastAsia="zh-CN"/>
            </w:rPr>
            <w:fldChar w:fldCharType="begin"/>
          </w:r>
          <w:r>
            <w:rPr>
              <w:rFonts w:hint="eastAsia" w:asciiTheme="minorEastAsia" w:hAnsiTheme="minorEastAsia" w:eastAsiaTheme="minorEastAsia" w:cstheme="minorEastAsia"/>
              <w:sz w:val="21"/>
              <w:lang w:val="en-US" w:eastAsia="zh-CN"/>
            </w:rPr>
            <w:instrText xml:space="preserve"> HYPERLINK \l _Toc3586 </w:instrText>
          </w:r>
          <w:r>
            <w:rPr>
              <w:rFonts w:hint="eastAsia" w:asciiTheme="minorEastAsia" w:hAnsiTheme="minorEastAsia" w:eastAsiaTheme="minorEastAsia" w:cstheme="minorEastAsia"/>
              <w:sz w:val="21"/>
              <w:lang w:val="en-US" w:eastAsia="zh-CN"/>
            </w:rPr>
            <w:fldChar w:fldCharType="separate"/>
          </w:r>
          <w:r>
            <w:rPr>
              <w:rFonts w:hint="eastAsia" w:asciiTheme="minorEastAsia" w:hAnsiTheme="minorEastAsia" w:eastAsiaTheme="minorEastAsia" w:cstheme="minorEastAsia"/>
              <w:bCs/>
              <w:sz w:val="21"/>
              <w:szCs w:val="28"/>
              <w:lang w:val="en-US" w:eastAsia="zh-CN"/>
            </w:rPr>
            <w:t>1 标准基本情况</w:t>
          </w:r>
          <w:r>
            <w:rPr>
              <w:rFonts w:hint="eastAsia" w:asciiTheme="minorEastAsia" w:hAnsiTheme="minorEastAsia" w:eastAsiaTheme="minorEastAsia" w:cstheme="minorEastAsia"/>
              <w:sz w:val="21"/>
            </w:rPr>
            <w:tab/>
          </w:r>
          <w:r>
            <w:rPr>
              <w:rFonts w:hint="eastAsia" w:asciiTheme="minorEastAsia" w:hAnsiTheme="minorEastAsia" w:eastAsiaTheme="minorEastAsia" w:cstheme="minorEastAsia"/>
              <w:sz w:val="21"/>
            </w:rPr>
            <w:fldChar w:fldCharType="begin"/>
          </w:r>
          <w:r>
            <w:rPr>
              <w:rFonts w:hint="eastAsia" w:asciiTheme="minorEastAsia" w:hAnsiTheme="minorEastAsia" w:eastAsiaTheme="minorEastAsia" w:cstheme="minorEastAsia"/>
              <w:sz w:val="21"/>
            </w:rPr>
            <w:instrText xml:space="preserve"> PAGEREF _Toc3586 \h </w:instrText>
          </w:r>
          <w:r>
            <w:rPr>
              <w:rFonts w:hint="eastAsia" w:asciiTheme="minorEastAsia" w:hAnsiTheme="minorEastAsia" w:eastAsiaTheme="minorEastAsia" w:cstheme="minorEastAsia"/>
              <w:sz w:val="21"/>
            </w:rPr>
            <w:fldChar w:fldCharType="separate"/>
          </w:r>
          <w:r>
            <w:rPr>
              <w:rFonts w:hint="eastAsia" w:asciiTheme="minorEastAsia" w:hAnsiTheme="minorEastAsia" w:eastAsiaTheme="minorEastAsia" w:cstheme="minorEastAsia"/>
              <w:sz w:val="21"/>
            </w:rPr>
            <w:t>1</w:t>
          </w:r>
          <w:r>
            <w:rPr>
              <w:rFonts w:hint="eastAsia" w:asciiTheme="minorEastAsia" w:hAnsiTheme="minorEastAsia" w:eastAsiaTheme="minorEastAsia" w:cstheme="minorEastAsia"/>
              <w:sz w:val="21"/>
            </w:rPr>
            <w:fldChar w:fldCharType="end"/>
          </w:r>
          <w:r>
            <w:rPr>
              <w:rFonts w:hint="eastAsia" w:asciiTheme="minorEastAsia" w:hAnsiTheme="minorEastAsia" w:eastAsiaTheme="minorEastAsia" w:cstheme="minorEastAsia"/>
              <w:sz w:val="21"/>
              <w:lang w:val="en-US" w:eastAsia="zh-CN"/>
            </w:rPr>
            <w:fldChar w:fldCharType="end"/>
          </w:r>
        </w:p>
        <w:p w14:paraId="3EBD582C">
          <w:pPr>
            <w:pStyle w:val="5"/>
            <w:keepNext w:val="0"/>
            <w:keepLines w:val="0"/>
            <w:pageBreakBefore w:val="0"/>
            <w:widowControl w:val="0"/>
            <w:tabs>
              <w:tab w:val="right" w:leader="dot" w:pos="9026"/>
            </w:tabs>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lang w:val="en-US" w:eastAsia="zh-CN"/>
            </w:rPr>
            <w:fldChar w:fldCharType="begin"/>
          </w:r>
          <w:r>
            <w:rPr>
              <w:rFonts w:hint="eastAsia" w:asciiTheme="minorEastAsia" w:hAnsiTheme="minorEastAsia" w:eastAsiaTheme="minorEastAsia" w:cstheme="minorEastAsia"/>
              <w:sz w:val="21"/>
              <w:lang w:val="en-US" w:eastAsia="zh-CN"/>
            </w:rPr>
            <w:instrText xml:space="preserve"> HYPERLINK \l _Toc8583 </w:instrText>
          </w:r>
          <w:r>
            <w:rPr>
              <w:rFonts w:hint="eastAsia" w:asciiTheme="minorEastAsia" w:hAnsiTheme="minorEastAsia" w:eastAsiaTheme="minorEastAsia" w:cstheme="minorEastAsia"/>
              <w:sz w:val="21"/>
              <w:lang w:val="en-US" w:eastAsia="zh-CN"/>
            </w:rPr>
            <w:fldChar w:fldCharType="separate"/>
          </w:r>
          <w:r>
            <w:rPr>
              <w:rFonts w:hint="eastAsia" w:asciiTheme="minorEastAsia" w:hAnsiTheme="minorEastAsia" w:eastAsiaTheme="minorEastAsia" w:cstheme="minorEastAsia"/>
              <w:sz w:val="21"/>
            </w:rPr>
            <w:t>2</w:t>
          </w:r>
          <w:r>
            <w:rPr>
              <w:rFonts w:hint="eastAsia" w:asciiTheme="minorEastAsia" w:hAnsiTheme="minorEastAsia" w:eastAsiaTheme="minorEastAsia" w:cstheme="minorEastAsia"/>
              <w:sz w:val="21"/>
              <w:lang w:val="en-US" w:eastAsia="zh-CN"/>
            </w:rPr>
            <w:t xml:space="preserve"> </w:t>
          </w:r>
          <w:r>
            <w:rPr>
              <w:rFonts w:hint="eastAsia" w:asciiTheme="minorEastAsia" w:hAnsiTheme="minorEastAsia" w:eastAsiaTheme="minorEastAsia" w:cstheme="minorEastAsia"/>
              <w:sz w:val="21"/>
            </w:rPr>
            <w:t>标准编制的必要性</w:t>
          </w:r>
          <w:r>
            <w:rPr>
              <w:rFonts w:hint="eastAsia" w:asciiTheme="minorEastAsia" w:hAnsiTheme="minorEastAsia" w:eastAsiaTheme="minorEastAsia" w:cstheme="minorEastAsia"/>
              <w:sz w:val="21"/>
            </w:rPr>
            <w:tab/>
          </w:r>
          <w:r>
            <w:rPr>
              <w:rFonts w:hint="eastAsia" w:asciiTheme="minorEastAsia" w:hAnsiTheme="minorEastAsia" w:eastAsiaTheme="minorEastAsia" w:cstheme="minorEastAsia"/>
              <w:sz w:val="21"/>
            </w:rPr>
            <w:fldChar w:fldCharType="begin"/>
          </w:r>
          <w:r>
            <w:rPr>
              <w:rFonts w:hint="eastAsia" w:asciiTheme="minorEastAsia" w:hAnsiTheme="minorEastAsia" w:eastAsiaTheme="minorEastAsia" w:cstheme="minorEastAsia"/>
              <w:sz w:val="21"/>
            </w:rPr>
            <w:instrText xml:space="preserve"> PAGEREF _Toc8583 \h </w:instrText>
          </w:r>
          <w:r>
            <w:rPr>
              <w:rFonts w:hint="eastAsia" w:asciiTheme="minorEastAsia" w:hAnsiTheme="minorEastAsia" w:eastAsiaTheme="minorEastAsia" w:cstheme="minorEastAsia"/>
              <w:sz w:val="21"/>
            </w:rPr>
            <w:fldChar w:fldCharType="separate"/>
          </w:r>
          <w:r>
            <w:rPr>
              <w:rFonts w:hint="eastAsia" w:asciiTheme="minorEastAsia" w:hAnsiTheme="minorEastAsia" w:eastAsiaTheme="minorEastAsia" w:cstheme="minorEastAsia"/>
              <w:sz w:val="21"/>
            </w:rPr>
            <w:t>4</w:t>
          </w:r>
          <w:r>
            <w:rPr>
              <w:rFonts w:hint="eastAsia" w:asciiTheme="minorEastAsia" w:hAnsiTheme="minorEastAsia" w:eastAsiaTheme="minorEastAsia" w:cstheme="minorEastAsia"/>
              <w:sz w:val="21"/>
            </w:rPr>
            <w:fldChar w:fldCharType="end"/>
          </w:r>
          <w:r>
            <w:rPr>
              <w:rFonts w:hint="eastAsia" w:asciiTheme="minorEastAsia" w:hAnsiTheme="minorEastAsia" w:eastAsiaTheme="minorEastAsia" w:cstheme="minorEastAsia"/>
              <w:sz w:val="21"/>
              <w:lang w:val="en-US" w:eastAsia="zh-CN"/>
            </w:rPr>
            <w:fldChar w:fldCharType="end"/>
          </w:r>
        </w:p>
        <w:p w14:paraId="09D83ED1">
          <w:pPr>
            <w:pStyle w:val="5"/>
            <w:keepNext w:val="0"/>
            <w:keepLines w:val="0"/>
            <w:pageBreakBefore w:val="0"/>
            <w:widowControl w:val="0"/>
            <w:tabs>
              <w:tab w:val="right" w:leader="dot" w:pos="9026"/>
            </w:tabs>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lang w:val="en-US" w:eastAsia="zh-CN"/>
            </w:rPr>
            <w:fldChar w:fldCharType="begin"/>
          </w:r>
          <w:r>
            <w:rPr>
              <w:rFonts w:hint="eastAsia" w:asciiTheme="minorEastAsia" w:hAnsiTheme="minorEastAsia" w:eastAsiaTheme="minorEastAsia" w:cstheme="minorEastAsia"/>
              <w:sz w:val="21"/>
              <w:lang w:val="en-US" w:eastAsia="zh-CN"/>
            </w:rPr>
            <w:instrText xml:space="preserve"> HYPERLINK \l _Toc18663 </w:instrText>
          </w:r>
          <w:r>
            <w:rPr>
              <w:rFonts w:hint="eastAsia" w:asciiTheme="minorEastAsia" w:hAnsiTheme="minorEastAsia" w:eastAsiaTheme="minorEastAsia" w:cstheme="minorEastAsia"/>
              <w:sz w:val="21"/>
              <w:lang w:val="en-US" w:eastAsia="zh-CN"/>
            </w:rPr>
            <w:fldChar w:fldCharType="separate"/>
          </w:r>
          <w:r>
            <w:rPr>
              <w:rFonts w:hint="eastAsia" w:asciiTheme="minorEastAsia" w:hAnsiTheme="minorEastAsia" w:eastAsiaTheme="minorEastAsia" w:cstheme="minorEastAsia"/>
              <w:bCs/>
              <w:sz w:val="21"/>
              <w:szCs w:val="28"/>
              <w:lang w:val="en-US" w:eastAsia="zh-CN"/>
            </w:rPr>
            <w:t>3 制定标准的原则和依据，与现行法律、法规、标准的关系</w:t>
          </w:r>
          <w:r>
            <w:rPr>
              <w:rFonts w:hint="eastAsia" w:asciiTheme="minorEastAsia" w:hAnsiTheme="minorEastAsia" w:eastAsiaTheme="minorEastAsia" w:cstheme="minorEastAsia"/>
              <w:sz w:val="21"/>
            </w:rPr>
            <w:tab/>
          </w:r>
          <w:r>
            <w:rPr>
              <w:rFonts w:hint="eastAsia" w:asciiTheme="minorEastAsia" w:hAnsiTheme="minorEastAsia" w:eastAsiaTheme="minorEastAsia" w:cstheme="minorEastAsia"/>
              <w:sz w:val="21"/>
            </w:rPr>
            <w:fldChar w:fldCharType="begin"/>
          </w:r>
          <w:r>
            <w:rPr>
              <w:rFonts w:hint="eastAsia" w:asciiTheme="minorEastAsia" w:hAnsiTheme="minorEastAsia" w:eastAsiaTheme="minorEastAsia" w:cstheme="minorEastAsia"/>
              <w:sz w:val="21"/>
            </w:rPr>
            <w:instrText xml:space="preserve"> PAGEREF _Toc18663 \h </w:instrText>
          </w:r>
          <w:r>
            <w:rPr>
              <w:rFonts w:hint="eastAsia" w:asciiTheme="minorEastAsia" w:hAnsiTheme="minorEastAsia" w:eastAsiaTheme="minorEastAsia" w:cstheme="minorEastAsia"/>
              <w:sz w:val="21"/>
            </w:rPr>
            <w:fldChar w:fldCharType="separate"/>
          </w:r>
          <w:r>
            <w:rPr>
              <w:rFonts w:hint="eastAsia" w:asciiTheme="minorEastAsia" w:hAnsiTheme="minorEastAsia" w:eastAsiaTheme="minorEastAsia" w:cstheme="minorEastAsia"/>
              <w:sz w:val="21"/>
            </w:rPr>
            <w:t>5</w:t>
          </w:r>
          <w:r>
            <w:rPr>
              <w:rFonts w:hint="eastAsia" w:asciiTheme="minorEastAsia" w:hAnsiTheme="minorEastAsia" w:eastAsiaTheme="minorEastAsia" w:cstheme="minorEastAsia"/>
              <w:sz w:val="21"/>
            </w:rPr>
            <w:fldChar w:fldCharType="end"/>
          </w:r>
          <w:r>
            <w:rPr>
              <w:rFonts w:hint="eastAsia" w:asciiTheme="minorEastAsia" w:hAnsiTheme="minorEastAsia" w:eastAsiaTheme="minorEastAsia" w:cstheme="minorEastAsia"/>
              <w:sz w:val="21"/>
              <w:lang w:val="en-US" w:eastAsia="zh-CN"/>
            </w:rPr>
            <w:fldChar w:fldCharType="end"/>
          </w:r>
        </w:p>
        <w:p w14:paraId="5FBDDAD5">
          <w:pPr>
            <w:pStyle w:val="5"/>
            <w:keepNext w:val="0"/>
            <w:keepLines w:val="0"/>
            <w:pageBreakBefore w:val="0"/>
            <w:widowControl w:val="0"/>
            <w:tabs>
              <w:tab w:val="right" w:leader="dot" w:pos="9026"/>
            </w:tabs>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lang w:val="en-US" w:eastAsia="zh-CN"/>
            </w:rPr>
            <w:fldChar w:fldCharType="begin"/>
          </w:r>
          <w:r>
            <w:rPr>
              <w:rFonts w:hint="eastAsia" w:asciiTheme="minorEastAsia" w:hAnsiTheme="minorEastAsia" w:eastAsiaTheme="minorEastAsia" w:cstheme="minorEastAsia"/>
              <w:sz w:val="21"/>
              <w:lang w:val="en-US" w:eastAsia="zh-CN"/>
            </w:rPr>
            <w:instrText xml:space="preserve"> HYPERLINK \l _Toc21165 </w:instrText>
          </w:r>
          <w:r>
            <w:rPr>
              <w:rFonts w:hint="eastAsia" w:asciiTheme="minorEastAsia" w:hAnsiTheme="minorEastAsia" w:eastAsiaTheme="minorEastAsia" w:cstheme="minorEastAsia"/>
              <w:sz w:val="21"/>
              <w:lang w:val="en-US" w:eastAsia="zh-CN"/>
            </w:rPr>
            <w:fldChar w:fldCharType="separate"/>
          </w:r>
          <w:r>
            <w:rPr>
              <w:rFonts w:hint="eastAsia" w:asciiTheme="minorEastAsia" w:hAnsiTheme="minorEastAsia" w:eastAsiaTheme="minorEastAsia" w:cstheme="minorEastAsia"/>
              <w:bCs/>
              <w:sz w:val="21"/>
              <w:szCs w:val="28"/>
              <w:lang w:val="en-US" w:eastAsia="zh-CN"/>
            </w:rPr>
            <w:t>4 主要内容说明</w:t>
          </w:r>
          <w:r>
            <w:rPr>
              <w:rFonts w:hint="eastAsia" w:asciiTheme="minorEastAsia" w:hAnsiTheme="minorEastAsia" w:eastAsiaTheme="minorEastAsia" w:cstheme="minorEastAsia"/>
              <w:sz w:val="21"/>
            </w:rPr>
            <w:tab/>
          </w:r>
          <w:r>
            <w:rPr>
              <w:rFonts w:hint="eastAsia" w:asciiTheme="minorEastAsia" w:hAnsiTheme="minorEastAsia" w:eastAsiaTheme="minorEastAsia" w:cstheme="minorEastAsia"/>
              <w:sz w:val="21"/>
            </w:rPr>
            <w:fldChar w:fldCharType="begin"/>
          </w:r>
          <w:r>
            <w:rPr>
              <w:rFonts w:hint="eastAsia" w:asciiTheme="minorEastAsia" w:hAnsiTheme="minorEastAsia" w:eastAsiaTheme="minorEastAsia" w:cstheme="minorEastAsia"/>
              <w:sz w:val="21"/>
            </w:rPr>
            <w:instrText xml:space="preserve"> PAGEREF _Toc21165 \h </w:instrText>
          </w:r>
          <w:r>
            <w:rPr>
              <w:rFonts w:hint="eastAsia" w:asciiTheme="minorEastAsia" w:hAnsiTheme="minorEastAsia" w:eastAsiaTheme="minorEastAsia" w:cstheme="minorEastAsia"/>
              <w:sz w:val="21"/>
            </w:rPr>
            <w:fldChar w:fldCharType="separate"/>
          </w:r>
          <w:r>
            <w:rPr>
              <w:rFonts w:hint="eastAsia" w:asciiTheme="minorEastAsia" w:hAnsiTheme="minorEastAsia" w:eastAsiaTheme="minorEastAsia" w:cstheme="minorEastAsia"/>
              <w:sz w:val="21"/>
            </w:rPr>
            <w:t>6</w:t>
          </w:r>
          <w:r>
            <w:rPr>
              <w:rFonts w:hint="eastAsia" w:asciiTheme="minorEastAsia" w:hAnsiTheme="minorEastAsia" w:eastAsiaTheme="minorEastAsia" w:cstheme="minorEastAsia"/>
              <w:sz w:val="21"/>
            </w:rPr>
            <w:fldChar w:fldCharType="end"/>
          </w:r>
          <w:r>
            <w:rPr>
              <w:rFonts w:hint="eastAsia" w:asciiTheme="minorEastAsia" w:hAnsiTheme="minorEastAsia" w:eastAsiaTheme="minorEastAsia" w:cstheme="minorEastAsia"/>
              <w:sz w:val="21"/>
              <w:lang w:val="en-US" w:eastAsia="zh-CN"/>
            </w:rPr>
            <w:fldChar w:fldCharType="end"/>
          </w:r>
        </w:p>
        <w:p w14:paraId="2807E45C">
          <w:pPr>
            <w:pStyle w:val="5"/>
            <w:keepNext w:val="0"/>
            <w:keepLines w:val="0"/>
            <w:pageBreakBefore w:val="0"/>
            <w:widowControl w:val="0"/>
            <w:tabs>
              <w:tab w:val="right" w:leader="dot" w:pos="9026"/>
            </w:tabs>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lang w:val="en-US" w:eastAsia="zh-CN"/>
            </w:rPr>
            <w:fldChar w:fldCharType="begin"/>
          </w:r>
          <w:r>
            <w:rPr>
              <w:rFonts w:hint="eastAsia" w:asciiTheme="minorEastAsia" w:hAnsiTheme="minorEastAsia" w:eastAsiaTheme="minorEastAsia" w:cstheme="minorEastAsia"/>
              <w:sz w:val="21"/>
              <w:lang w:val="en-US" w:eastAsia="zh-CN"/>
            </w:rPr>
            <w:instrText xml:space="preserve"> HYPERLINK \l _Toc1175 </w:instrText>
          </w:r>
          <w:r>
            <w:rPr>
              <w:rFonts w:hint="eastAsia" w:asciiTheme="minorEastAsia" w:hAnsiTheme="minorEastAsia" w:eastAsiaTheme="minorEastAsia" w:cstheme="minorEastAsia"/>
              <w:sz w:val="21"/>
              <w:lang w:val="en-US" w:eastAsia="zh-CN"/>
            </w:rPr>
            <w:fldChar w:fldCharType="separate"/>
          </w:r>
          <w:r>
            <w:rPr>
              <w:rFonts w:hint="eastAsia" w:asciiTheme="minorEastAsia" w:hAnsiTheme="minorEastAsia" w:eastAsiaTheme="minorEastAsia" w:cstheme="minorEastAsia"/>
              <w:bCs/>
              <w:sz w:val="21"/>
              <w:szCs w:val="28"/>
              <w:lang w:val="en-US" w:eastAsia="zh-CN"/>
            </w:rPr>
            <w:t>5 重大意见分歧的处理依据和结果</w:t>
          </w:r>
          <w:r>
            <w:rPr>
              <w:rFonts w:hint="eastAsia" w:asciiTheme="minorEastAsia" w:hAnsiTheme="minorEastAsia" w:eastAsiaTheme="minorEastAsia" w:cstheme="minorEastAsia"/>
              <w:sz w:val="21"/>
            </w:rPr>
            <w:tab/>
          </w:r>
          <w:r>
            <w:rPr>
              <w:rFonts w:hint="eastAsia" w:asciiTheme="minorEastAsia" w:hAnsiTheme="minorEastAsia" w:eastAsiaTheme="minorEastAsia" w:cstheme="minorEastAsia"/>
              <w:sz w:val="21"/>
            </w:rPr>
            <w:fldChar w:fldCharType="begin"/>
          </w:r>
          <w:r>
            <w:rPr>
              <w:rFonts w:hint="eastAsia" w:asciiTheme="minorEastAsia" w:hAnsiTheme="minorEastAsia" w:eastAsiaTheme="minorEastAsia" w:cstheme="minorEastAsia"/>
              <w:sz w:val="21"/>
            </w:rPr>
            <w:instrText xml:space="preserve"> PAGEREF _Toc1175 \h </w:instrText>
          </w:r>
          <w:r>
            <w:rPr>
              <w:rFonts w:hint="eastAsia" w:asciiTheme="minorEastAsia" w:hAnsiTheme="minorEastAsia" w:eastAsiaTheme="minorEastAsia" w:cstheme="minorEastAsia"/>
              <w:sz w:val="21"/>
            </w:rPr>
            <w:fldChar w:fldCharType="separate"/>
          </w:r>
          <w:r>
            <w:rPr>
              <w:rFonts w:hint="eastAsia" w:asciiTheme="minorEastAsia" w:hAnsiTheme="minorEastAsia" w:eastAsiaTheme="minorEastAsia" w:cstheme="minorEastAsia"/>
              <w:sz w:val="21"/>
            </w:rPr>
            <w:t>7</w:t>
          </w:r>
          <w:r>
            <w:rPr>
              <w:rFonts w:hint="eastAsia" w:asciiTheme="minorEastAsia" w:hAnsiTheme="minorEastAsia" w:eastAsiaTheme="minorEastAsia" w:cstheme="minorEastAsia"/>
              <w:sz w:val="21"/>
            </w:rPr>
            <w:fldChar w:fldCharType="end"/>
          </w:r>
          <w:r>
            <w:rPr>
              <w:rFonts w:hint="eastAsia" w:asciiTheme="minorEastAsia" w:hAnsiTheme="minorEastAsia" w:eastAsiaTheme="minorEastAsia" w:cstheme="minorEastAsia"/>
              <w:sz w:val="21"/>
              <w:lang w:val="en-US" w:eastAsia="zh-CN"/>
            </w:rPr>
            <w:fldChar w:fldCharType="end"/>
          </w:r>
        </w:p>
        <w:p w14:paraId="606D72DD">
          <w:pPr>
            <w:pStyle w:val="5"/>
            <w:keepNext w:val="0"/>
            <w:keepLines w:val="0"/>
            <w:pageBreakBefore w:val="0"/>
            <w:widowControl w:val="0"/>
            <w:tabs>
              <w:tab w:val="right" w:leader="dot" w:pos="9026"/>
            </w:tabs>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lang w:val="en-US" w:eastAsia="zh-CN"/>
            </w:rPr>
            <w:fldChar w:fldCharType="begin"/>
          </w:r>
          <w:r>
            <w:rPr>
              <w:rFonts w:hint="eastAsia" w:asciiTheme="minorEastAsia" w:hAnsiTheme="minorEastAsia" w:eastAsiaTheme="minorEastAsia" w:cstheme="minorEastAsia"/>
              <w:sz w:val="21"/>
              <w:lang w:val="en-US" w:eastAsia="zh-CN"/>
            </w:rPr>
            <w:instrText xml:space="preserve"> HYPERLINK \l _Toc21591 </w:instrText>
          </w:r>
          <w:r>
            <w:rPr>
              <w:rFonts w:hint="eastAsia" w:asciiTheme="minorEastAsia" w:hAnsiTheme="minorEastAsia" w:eastAsiaTheme="minorEastAsia" w:cstheme="minorEastAsia"/>
              <w:sz w:val="21"/>
              <w:lang w:val="en-US" w:eastAsia="zh-CN"/>
            </w:rPr>
            <w:fldChar w:fldCharType="separate"/>
          </w:r>
          <w:r>
            <w:rPr>
              <w:rFonts w:hint="eastAsia" w:asciiTheme="minorEastAsia" w:hAnsiTheme="minorEastAsia" w:eastAsiaTheme="minorEastAsia" w:cstheme="minorEastAsia"/>
              <w:bCs/>
              <w:sz w:val="21"/>
              <w:szCs w:val="28"/>
              <w:highlight w:val="none"/>
              <w:lang w:val="en-US" w:eastAsia="zh-CN"/>
            </w:rPr>
            <w:t>6 国际或国外标准的引用</w:t>
          </w:r>
          <w:r>
            <w:rPr>
              <w:rFonts w:hint="eastAsia" w:asciiTheme="minorEastAsia" w:hAnsiTheme="minorEastAsia" w:eastAsiaTheme="minorEastAsia" w:cstheme="minorEastAsia"/>
              <w:sz w:val="21"/>
            </w:rPr>
            <w:tab/>
          </w:r>
          <w:r>
            <w:rPr>
              <w:rFonts w:hint="eastAsia" w:asciiTheme="minorEastAsia" w:hAnsiTheme="minorEastAsia" w:eastAsiaTheme="minorEastAsia" w:cstheme="minorEastAsia"/>
              <w:sz w:val="21"/>
            </w:rPr>
            <w:fldChar w:fldCharType="begin"/>
          </w:r>
          <w:r>
            <w:rPr>
              <w:rFonts w:hint="eastAsia" w:asciiTheme="minorEastAsia" w:hAnsiTheme="minorEastAsia" w:eastAsiaTheme="minorEastAsia" w:cstheme="minorEastAsia"/>
              <w:sz w:val="21"/>
            </w:rPr>
            <w:instrText xml:space="preserve"> PAGEREF _Toc21591 \h </w:instrText>
          </w:r>
          <w:r>
            <w:rPr>
              <w:rFonts w:hint="eastAsia" w:asciiTheme="minorEastAsia" w:hAnsiTheme="minorEastAsia" w:eastAsiaTheme="minorEastAsia" w:cstheme="minorEastAsia"/>
              <w:sz w:val="21"/>
            </w:rPr>
            <w:fldChar w:fldCharType="separate"/>
          </w:r>
          <w:r>
            <w:rPr>
              <w:rFonts w:hint="eastAsia" w:asciiTheme="minorEastAsia" w:hAnsiTheme="minorEastAsia" w:eastAsiaTheme="minorEastAsia" w:cstheme="minorEastAsia"/>
              <w:sz w:val="21"/>
            </w:rPr>
            <w:t>7</w:t>
          </w:r>
          <w:r>
            <w:rPr>
              <w:rFonts w:hint="eastAsia" w:asciiTheme="minorEastAsia" w:hAnsiTheme="minorEastAsia" w:eastAsiaTheme="minorEastAsia" w:cstheme="minorEastAsia"/>
              <w:sz w:val="21"/>
            </w:rPr>
            <w:fldChar w:fldCharType="end"/>
          </w:r>
          <w:r>
            <w:rPr>
              <w:rFonts w:hint="eastAsia" w:asciiTheme="minorEastAsia" w:hAnsiTheme="minorEastAsia" w:eastAsiaTheme="minorEastAsia" w:cstheme="minorEastAsia"/>
              <w:sz w:val="21"/>
              <w:lang w:val="en-US" w:eastAsia="zh-CN"/>
            </w:rPr>
            <w:fldChar w:fldCharType="end"/>
          </w:r>
        </w:p>
        <w:p w14:paraId="7AB12AAA">
          <w:pPr>
            <w:pStyle w:val="5"/>
            <w:keepNext w:val="0"/>
            <w:keepLines w:val="0"/>
            <w:pageBreakBefore w:val="0"/>
            <w:widowControl w:val="0"/>
            <w:tabs>
              <w:tab w:val="right" w:leader="dot" w:pos="9026"/>
            </w:tabs>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lang w:val="en-US" w:eastAsia="zh-CN"/>
            </w:rPr>
            <w:fldChar w:fldCharType="begin"/>
          </w:r>
          <w:r>
            <w:rPr>
              <w:rFonts w:hint="eastAsia" w:asciiTheme="minorEastAsia" w:hAnsiTheme="minorEastAsia" w:eastAsiaTheme="minorEastAsia" w:cstheme="minorEastAsia"/>
              <w:sz w:val="21"/>
              <w:lang w:val="en-US" w:eastAsia="zh-CN"/>
            </w:rPr>
            <w:instrText xml:space="preserve"> HYPERLINK \l _Toc31498 </w:instrText>
          </w:r>
          <w:r>
            <w:rPr>
              <w:rFonts w:hint="eastAsia" w:asciiTheme="minorEastAsia" w:hAnsiTheme="minorEastAsia" w:eastAsiaTheme="minorEastAsia" w:cstheme="minorEastAsia"/>
              <w:sz w:val="21"/>
              <w:lang w:val="en-US" w:eastAsia="zh-CN"/>
            </w:rPr>
            <w:fldChar w:fldCharType="separate"/>
          </w:r>
          <w:r>
            <w:rPr>
              <w:rFonts w:hint="eastAsia" w:asciiTheme="minorEastAsia" w:hAnsiTheme="minorEastAsia" w:eastAsiaTheme="minorEastAsia" w:cstheme="minorEastAsia"/>
              <w:bCs/>
              <w:sz w:val="21"/>
              <w:szCs w:val="28"/>
              <w:lang w:val="en-US" w:eastAsia="zh-CN"/>
            </w:rPr>
            <w:t>7 作为强制性标准的建议及理由</w:t>
          </w:r>
          <w:r>
            <w:rPr>
              <w:rFonts w:hint="eastAsia" w:asciiTheme="minorEastAsia" w:hAnsiTheme="minorEastAsia" w:eastAsiaTheme="minorEastAsia" w:cstheme="minorEastAsia"/>
              <w:sz w:val="21"/>
            </w:rPr>
            <w:tab/>
          </w:r>
          <w:r>
            <w:rPr>
              <w:rFonts w:hint="eastAsia" w:asciiTheme="minorEastAsia" w:hAnsiTheme="minorEastAsia" w:eastAsiaTheme="minorEastAsia" w:cstheme="minorEastAsia"/>
              <w:sz w:val="21"/>
            </w:rPr>
            <w:fldChar w:fldCharType="begin"/>
          </w:r>
          <w:r>
            <w:rPr>
              <w:rFonts w:hint="eastAsia" w:asciiTheme="minorEastAsia" w:hAnsiTheme="minorEastAsia" w:eastAsiaTheme="minorEastAsia" w:cstheme="minorEastAsia"/>
              <w:sz w:val="21"/>
            </w:rPr>
            <w:instrText xml:space="preserve"> PAGEREF _Toc31498 \h </w:instrText>
          </w:r>
          <w:r>
            <w:rPr>
              <w:rFonts w:hint="eastAsia" w:asciiTheme="minorEastAsia" w:hAnsiTheme="minorEastAsia" w:eastAsiaTheme="minorEastAsia" w:cstheme="minorEastAsia"/>
              <w:sz w:val="21"/>
            </w:rPr>
            <w:fldChar w:fldCharType="separate"/>
          </w:r>
          <w:r>
            <w:rPr>
              <w:rFonts w:hint="eastAsia" w:asciiTheme="minorEastAsia" w:hAnsiTheme="minorEastAsia" w:eastAsiaTheme="minorEastAsia" w:cstheme="minorEastAsia"/>
              <w:sz w:val="21"/>
            </w:rPr>
            <w:t>8</w:t>
          </w:r>
          <w:r>
            <w:rPr>
              <w:rFonts w:hint="eastAsia" w:asciiTheme="minorEastAsia" w:hAnsiTheme="minorEastAsia" w:eastAsiaTheme="minorEastAsia" w:cstheme="minorEastAsia"/>
              <w:sz w:val="21"/>
            </w:rPr>
            <w:fldChar w:fldCharType="end"/>
          </w:r>
          <w:r>
            <w:rPr>
              <w:rFonts w:hint="eastAsia" w:asciiTheme="minorEastAsia" w:hAnsiTheme="minorEastAsia" w:eastAsiaTheme="minorEastAsia" w:cstheme="minorEastAsia"/>
              <w:sz w:val="21"/>
              <w:lang w:val="en-US" w:eastAsia="zh-CN"/>
            </w:rPr>
            <w:fldChar w:fldCharType="end"/>
          </w:r>
        </w:p>
        <w:p w14:paraId="1A4E1805">
          <w:pPr>
            <w:pStyle w:val="5"/>
            <w:keepNext w:val="0"/>
            <w:keepLines w:val="0"/>
            <w:pageBreakBefore w:val="0"/>
            <w:widowControl w:val="0"/>
            <w:tabs>
              <w:tab w:val="right" w:leader="dot" w:pos="9026"/>
            </w:tabs>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lang w:val="en-US" w:eastAsia="zh-CN"/>
            </w:rPr>
            <w:fldChar w:fldCharType="begin"/>
          </w:r>
          <w:r>
            <w:rPr>
              <w:rFonts w:hint="eastAsia" w:asciiTheme="minorEastAsia" w:hAnsiTheme="minorEastAsia" w:eastAsiaTheme="minorEastAsia" w:cstheme="minorEastAsia"/>
              <w:sz w:val="21"/>
              <w:lang w:val="en-US" w:eastAsia="zh-CN"/>
            </w:rPr>
            <w:instrText xml:space="preserve"> HYPERLINK \l _Toc12743 </w:instrText>
          </w:r>
          <w:r>
            <w:rPr>
              <w:rFonts w:hint="eastAsia" w:asciiTheme="minorEastAsia" w:hAnsiTheme="minorEastAsia" w:eastAsiaTheme="minorEastAsia" w:cstheme="minorEastAsia"/>
              <w:sz w:val="21"/>
              <w:lang w:val="en-US" w:eastAsia="zh-CN"/>
            </w:rPr>
            <w:fldChar w:fldCharType="separate"/>
          </w:r>
          <w:r>
            <w:rPr>
              <w:rFonts w:hint="eastAsia" w:asciiTheme="minorEastAsia" w:hAnsiTheme="minorEastAsia" w:eastAsiaTheme="minorEastAsia" w:cstheme="minorEastAsia"/>
              <w:bCs/>
              <w:sz w:val="21"/>
              <w:szCs w:val="28"/>
              <w:lang w:val="en-US" w:eastAsia="zh-CN"/>
            </w:rPr>
            <w:t>8 贯彻标准的措施建议</w:t>
          </w:r>
          <w:r>
            <w:rPr>
              <w:rFonts w:hint="eastAsia" w:asciiTheme="minorEastAsia" w:hAnsiTheme="minorEastAsia" w:eastAsiaTheme="minorEastAsia" w:cstheme="minorEastAsia"/>
              <w:sz w:val="21"/>
            </w:rPr>
            <w:tab/>
          </w:r>
          <w:r>
            <w:rPr>
              <w:rFonts w:hint="eastAsia" w:asciiTheme="minorEastAsia" w:hAnsiTheme="minorEastAsia" w:eastAsiaTheme="minorEastAsia" w:cstheme="minorEastAsia"/>
              <w:sz w:val="21"/>
            </w:rPr>
            <w:fldChar w:fldCharType="begin"/>
          </w:r>
          <w:r>
            <w:rPr>
              <w:rFonts w:hint="eastAsia" w:asciiTheme="minorEastAsia" w:hAnsiTheme="minorEastAsia" w:eastAsiaTheme="minorEastAsia" w:cstheme="minorEastAsia"/>
              <w:sz w:val="21"/>
            </w:rPr>
            <w:instrText xml:space="preserve"> PAGEREF _Toc12743 \h </w:instrText>
          </w:r>
          <w:r>
            <w:rPr>
              <w:rFonts w:hint="eastAsia" w:asciiTheme="minorEastAsia" w:hAnsiTheme="minorEastAsia" w:eastAsiaTheme="minorEastAsia" w:cstheme="minorEastAsia"/>
              <w:sz w:val="21"/>
            </w:rPr>
            <w:fldChar w:fldCharType="separate"/>
          </w:r>
          <w:r>
            <w:rPr>
              <w:rFonts w:hint="eastAsia" w:asciiTheme="minorEastAsia" w:hAnsiTheme="minorEastAsia" w:eastAsiaTheme="minorEastAsia" w:cstheme="minorEastAsia"/>
              <w:sz w:val="21"/>
            </w:rPr>
            <w:t>8</w:t>
          </w:r>
          <w:r>
            <w:rPr>
              <w:rFonts w:hint="eastAsia" w:asciiTheme="minorEastAsia" w:hAnsiTheme="minorEastAsia" w:eastAsiaTheme="minorEastAsia" w:cstheme="minorEastAsia"/>
              <w:sz w:val="21"/>
            </w:rPr>
            <w:fldChar w:fldCharType="end"/>
          </w:r>
          <w:r>
            <w:rPr>
              <w:rFonts w:hint="eastAsia" w:asciiTheme="minorEastAsia" w:hAnsiTheme="minorEastAsia" w:eastAsiaTheme="minorEastAsia" w:cstheme="minorEastAsia"/>
              <w:sz w:val="21"/>
              <w:lang w:val="en-US" w:eastAsia="zh-CN"/>
            </w:rPr>
            <w:fldChar w:fldCharType="end"/>
          </w:r>
        </w:p>
        <w:p w14:paraId="1F297132">
          <w:pPr>
            <w:pStyle w:val="5"/>
            <w:keepNext w:val="0"/>
            <w:keepLines w:val="0"/>
            <w:pageBreakBefore w:val="0"/>
            <w:widowControl w:val="0"/>
            <w:tabs>
              <w:tab w:val="right" w:leader="dot" w:pos="9026"/>
            </w:tabs>
            <w:kinsoku/>
            <w:wordWrap/>
            <w:overflowPunct/>
            <w:topLinePunct w:val="0"/>
            <w:autoSpaceDE/>
            <w:autoSpaceDN/>
            <w:bidi w:val="0"/>
            <w:adjustRightInd/>
            <w:snapToGrid/>
            <w:spacing w:line="480" w:lineRule="exact"/>
            <w:textAlignment w:val="auto"/>
          </w:pPr>
          <w:r>
            <w:rPr>
              <w:rFonts w:hint="eastAsia" w:asciiTheme="minorEastAsia" w:hAnsiTheme="minorEastAsia" w:eastAsiaTheme="minorEastAsia" w:cstheme="minorEastAsia"/>
              <w:sz w:val="21"/>
              <w:lang w:val="en-US" w:eastAsia="zh-CN"/>
            </w:rPr>
            <w:fldChar w:fldCharType="begin"/>
          </w:r>
          <w:r>
            <w:rPr>
              <w:rFonts w:hint="eastAsia" w:asciiTheme="minorEastAsia" w:hAnsiTheme="minorEastAsia" w:eastAsiaTheme="minorEastAsia" w:cstheme="minorEastAsia"/>
              <w:sz w:val="21"/>
              <w:lang w:val="en-US" w:eastAsia="zh-CN"/>
            </w:rPr>
            <w:instrText xml:space="preserve"> HYPERLINK \l _Toc1791 </w:instrText>
          </w:r>
          <w:r>
            <w:rPr>
              <w:rFonts w:hint="eastAsia" w:asciiTheme="minorEastAsia" w:hAnsiTheme="minorEastAsia" w:eastAsiaTheme="minorEastAsia" w:cstheme="minorEastAsia"/>
              <w:sz w:val="21"/>
              <w:lang w:val="en-US" w:eastAsia="zh-CN"/>
            </w:rPr>
            <w:fldChar w:fldCharType="separate"/>
          </w:r>
          <w:r>
            <w:rPr>
              <w:rFonts w:hint="eastAsia" w:asciiTheme="minorEastAsia" w:hAnsiTheme="minorEastAsia" w:eastAsiaTheme="minorEastAsia" w:cstheme="minorEastAsia"/>
              <w:bCs/>
              <w:sz w:val="21"/>
              <w:szCs w:val="28"/>
              <w:lang w:val="en-US" w:eastAsia="zh-CN"/>
            </w:rPr>
            <w:t>9 相关标准及参考文献</w:t>
          </w:r>
          <w:r>
            <w:rPr>
              <w:rFonts w:hint="eastAsia" w:asciiTheme="minorEastAsia" w:hAnsiTheme="minorEastAsia" w:eastAsiaTheme="minorEastAsia" w:cstheme="minorEastAsia"/>
              <w:sz w:val="21"/>
            </w:rPr>
            <w:tab/>
          </w:r>
          <w:r>
            <w:rPr>
              <w:rFonts w:hint="eastAsia" w:asciiTheme="minorEastAsia" w:hAnsiTheme="minorEastAsia" w:eastAsiaTheme="minorEastAsia" w:cstheme="minorEastAsia"/>
              <w:sz w:val="21"/>
            </w:rPr>
            <w:fldChar w:fldCharType="begin"/>
          </w:r>
          <w:r>
            <w:rPr>
              <w:rFonts w:hint="eastAsia" w:asciiTheme="minorEastAsia" w:hAnsiTheme="minorEastAsia" w:eastAsiaTheme="minorEastAsia" w:cstheme="minorEastAsia"/>
              <w:sz w:val="21"/>
            </w:rPr>
            <w:instrText xml:space="preserve"> PAGEREF _Toc1791 \h </w:instrText>
          </w:r>
          <w:r>
            <w:rPr>
              <w:rFonts w:hint="eastAsia" w:asciiTheme="minorEastAsia" w:hAnsiTheme="minorEastAsia" w:eastAsiaTheme="minorEastAsia" w:cstheme="minorEastAsia"/>
              <w:sz w:val="21"/>
            </w:rPr>
            <w:fldChar w:fldCharType="separate"/>
          </w:r>
          <w:r>
            <w:rPr>
              <w:rFonts w:hint="eastAsia" w:asciiTheme="minorEastAsia" w:hAnsiTheme="minorEastAsia" w:eastAsiaTheme="minorEastAsia" w:cstheme="minorEastAsia"/>
              <w:sz w:val="21"/>
            </w:rPr>
            <w:t>8</w:t>
          </w:r>
          <w:r>
            <w:rPr>
              <w:rFonts w:hint="eastAsia" w:asciiTheme="minorEastAsia" w:hAnsiTheme="minorEastAsia" w:eastAsiaTheme="minorEastAsia" w:cstheme="minorEastAsia"/>
              <w:sz w:val="21"/>
            </w:rPr>
            <w:fldChar w:fldCharType="end"/>
          </w:r>
          <w:r>
            <w:rPr>
              <w:rFonts w:hint="eastAsia" w:asciiTheme="minorEastAsia" w:hAnsiTheme="minorEastAsia" w:eastAsiaTheme="minorEastAsia" w:cstheme="minorEastAsia"/>
              <w:sz w:val="21"/>
              <w:lang w:val="en-US" w:eastAsia="zh-CN"/>
            </w:rPr>
            <w:fldChar w:fldCharType="end"/>
          </w:r>
        </w:p>
        <w:p w14:paraId="50005125">
          <w:pPr>
            <w:rPr>
              <w:rFonts w:hint="eastAsia" w:ascii="Times New Roman" w:hAnsi="Times New Roman" w:eastAsia="黑体"/>
              <w:lang w:val="en-US" w:eastAsia="zh-CN"/>
            </w:rPr>
          </w:pPr>
          <w:r>
            <w:rPr>
              <w:rFonts w:hint="eastAsia" w:ascii="Times New Roman" w:hAnsi="Times New Roman" w:eastAsia="黑体"/>
              <w:lang w:val="en-US" w:eastAsia="zh-CN"/>
            </w:rPr>
            <w:fldChar w:fldCharType="end"/>
          </w:r>
        </w:p>
        <w:p w14:paraId="0B0BFAAB">
          <w:pPr>
            <w:rPr>
              <w:rFonts w:hint="eastAsia" w:ascii="Times New Roman" w:hAnsi="Times New Roman" w:eastAsia="仿宋_GB2312"/>
              <w:b/>
              <w:bCs/>
              <w:sz w:val="28"/>
              <w:szCs w:val="28"/>
              <w:lang w:val="en-US" w:eastAsia="zh-CN"/>
            </w:rPr>
            <w:sectPr>
              <w:pgSz w:w="11906" w:h="17238"/>
              <w:pgMar w:top="1417" w:right="1417" w:bottom="1134" w:left="1417" w:header="720" w:footer="720" w:gutter="0"/>
              <w:cols w:equalWidth="0" w:num="1">
                <w:col w:w="9026"/>
              </w:cols>
              <w:docGrid w:linePitch="360" w:charSpace="0"/>
            </w:sectPr>
          </w:pPr>
          <w:bookmarkStart w:id="6" w:name="_Toc31566"/>
          <w:bookmarkStart w:id="7" w:name="_Toc3586"/>
        </w:p>
      </w:sdtContent>
    </w:sdt>
    <w:p w14:paraId="4D92EFE3">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outlineLvl w:val="0"/>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 标准基本情况</w:t>
      </w:r>
      <w:bookmarkEnd w:id="6"/>
      <w:bookmarkEnd w:id="7"/>
    </w:p>
    <w:p w14:paraId="310D91C2">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 任务来源</w:t>
      </w:r>
    </w:p>
    <w:p w14:paraId="3388E40F">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为指导和规范排污单位开展自行监测，生态环境部于自2017年起发布了《排污单位自行监测技术指南 总则》（HJ 819-2017）及一系列的行业自行监测技术指南，但是针对全国具有相当规模的兰炭工业，尚未制定其行业自行监测技术指南，目前仍然依据《总则》（HJ 819-2017）进行。鉴于《总则》中并未明确针对兰炭炉顶、无组织排放及熄焦循环水等排污点位的自行监测要求，为了进一步明确和细化对兰炭工业排污单位自行监测行为的指导，支撑兰炭工业企业排污许可制度的落实，陕西省环境中心站在中国环境监测总站的指导下，在总结长期对兰炭工业环保验收监测、污染源监督性监测及自行监测监督检查的经验基础上，提出了制定环境行业标准《排污单位自行监测技术指南 兰炭工业》的工作需求。</w:t>
      </w:r>
    </w:p>
    <w:p w14:paraId="491A5C68">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2021年4月30日，陕西省市场监督管理局印发关于下达《2021年第一批地方标准计划的函》(陕市监函(2021)424号)，将《排污企业自行监测技术指南 兰炭工业》列入陕西省地方标准制修订计划，项目编号为“SDBXM21-2021”，由陕西省环境监测中心站负责相关研究和制定工作。</w:t>
      </w:r>
    </w:p>
    <w:p w14:paraId="5AFF5360">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兰炭是利用各地的优质侏罗精煤块烧制而成的，作为一种新型的炭素材料，以其固定炭高、比电阻高、化学活性高、含灰份低、铝低、硫低、磷低的特性，已逐步取代冶金焦炭而广泛运用于电石、铁合金、硅铁、碳化硅等产品的生产，成为一种不可替代的炭素材料。</w:t>
      </w:r>
    </w:p>
    <w:p w14:paraId="31044BC8">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兰炭的应用领域在不断的扩大，兰炭在提高下游产品质量档次、节约能源、降低生产成本、增加产量等方面均具有很高的应用价值，同时兰炭在高炉喷吹，生产炭化料、活性碳及民用和锅炉燃料等领域也存在发展潜力。尤其在国家不断提倡绿色环保的前提下，提高兰炭在高炉喷吹料中的比例显得至关重要。</w:t>
      </w:r>
    </w:p>
    <w:p w14:paraId="458EA1A6">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Times New Roman" w:hAnsi="Times New Roman" w:eastAsia="仿宋_GB2312"/>
          <w:sz w:val="24"/>
          <w:lang w:val="en-US" w:eastAsia="zh-CN"/>
        </w:rPr>
      </w:pPr>
      <w:r>
        <w:rPr>
          <w:rFonts w:hint="eastAsia" w:ascii="宋体" w:hAnsi="宋体" w:eastAsia="宋体" w:cs="宋体"/>
          <w:sz w:val="21"/>
          <w:szCs w:val="21"/>
          <w:lang w:val="en-US" w:eastAsia="zh-CN"/>
        </w:rPr>
        <w:t>相比于一般焦炭，兰炭作为一种高新型清洁能源，在我国有着相当规模的产量和相当广泛的分部。2023年我国兰炭企业区域分部见图1，由图可知，兰炭行业在我国分部较为平均且广泛。</w:t>
      </w:r>
    </w:p>
    <w:p w14:paraId="182D4E0C">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黑体" w:hAnsi="黑体" w:eastAsia="黑体" w:cs="黑体"/>
          <w:sz w:val="21"/>
          <w:szCs w:val="21"/>
          <w:lang w:val="en-US" w:eastAsia="zh-CN"/>
        </w:rPr>
      </w:pPr>
    </w:p>
    <w:p w14:paraId="67AB02BF">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黑体" w:hAnsi="黑体" w:eastAsia="黑体" w:cs="黑体"/>
          <w:sz w:val="21"/>
          <w:szCs w:val="21"/>
          <w:lang w:val="en-US" w:eastAsia="zh-CN"/>
        </w:rPr>
      </w:pPr>
    </w:p>
    <w:p w14:paraId="48E4D703">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黑体" w:hAnsi="黑体" w:eastAsia="黑体" w:cs="黑体"/>
          <w:sz w:val="21"/>
          <w:szCs w:val="21"/>
          <w:lang w:val="en-US" w:eastAsia="zh-CN"/>
        </w:rPr>
      </w:pPr>
    </w:p>
    <w:p w14:paraId="439D18B8">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黑体" w:hAnsi="黑体" w:eastAsia="黑体" w:cs="黑体"/>
          <w:sz w:val="21"/>
          <w:szCs w:val="21"/>
          <w:lang w:val="en-US" w:eastAsia="zh-CN"/>
        </w:rPr>
      </w:pPr>
    </w:p>
    <w:p w14:paraId="64E0DC76">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p>
    <w:p w14:paraId="38BD81BC">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p>
    <w:p w14:paraId="109FCBF2">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drawing>
          <wp:anchor distT="0" distB="0" distL="114300" distR="114300" simplePos="0" relativeHeight="251661312" behindDoc="0" locked="0" layoutInCell="1" allowOverlap="1">
            <wp:simplePos x="0" y="0"/>
            <wp:positionH relativeFrom="column">
              <wp:posOffset>266700</wp:posOffset>
            </wp:positionH>
            <wp:positionV relativeFrom="paragraph">
              <wp:posOffset>-709930</wp:posOffset>
            </wp:positionV>
            <wp:extent cx="4826000" cy="2285365"/>
            <wp:effectExtent l="0" t="0" r="12700" b="635"/>
            <wp:wrapNone/>
            <wp:docPr id="3" name="图片 3" descr="f6954ed3ca36f477f7a1d3ae96cc7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6954ed3ca36f477f7a1d3ae96cc73c"/>
                    <pic:cNvPicPr>
                      <a:picLocks noChangeAspect="1"/>
                    </pic:cNvPicPr>
                  </pic:nvPicPr>
                  <pic:blipFill>
                    <a:blip r:embed="rId5"/>
                    <a:stretch>
                      <a:fillRect/>
                    </a:stretch>
                  </pic:blipFill>
                  <pic:spPr>
                    <a:xfrm>
                      <a:off x="0" y="0"/>
                      <a:ext cx="4826000" cy="2285365"/>
                    </a:xfrm>
                    <a:prstGeom prst="rect">
                      <a:avLst/>
                    </a:prstGeom>
                  </pic:spPr>
                </pic:pic>
              </a:graphicData>
            </a:graphic>
          </wp:anchor>
        </w:drawing>
      </w:r>
    </w:p>
    <w:p w14:paraId="4C8059D9">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p>
    <w:p w14:paraId="44FF5A29">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黑体" w:hAnsi="黑体" w:eastAsia="黑体" w:cs="黑体"/>
          <w:sz w:val="21"/>
          <w:szCs w:val="21"/>
          <w:lang w:val="en-US" w:eastAsia="zh-CN"/>
        </w:rPr>
      </w:pPr>
    </w:p>
    <w:p w14:paraId="367180B3">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黑体" w:hAnsi="黑体" w:eastAsia="黑体" w:cs="黑体"/>
          <w:sz w:val="21"/>
          <w:szCs w:val="21"/>
          <w:lang w:val="en-US" w:eastAsia="zh-CN"/>
        </w:rPr>
      </w:pPr>
    </w:p>
    <w:p w14:paraId="49EEFE92">
      <w:pPr>
        <w:keepNext w:val="0"/>
        <w:keepLines w:val="0"/>
        <w:pageBreakBefore w:val="0"/>
        <w:widowControl w:val="0"/>
        <w:kinsoku/>
        <w:wordWrap/>
        <w:overflowPunct/>
        <w:topLinePunct w:val="0"/>
        <w:autoSpaceDE/>
        <w:autoSpaceDN/>
        <w:bidi w:val="0"/>
        <w:adjustRightInd/>
        <w:snapToGrid/>
        <w:spacing w:line="440" w:lineRule="exact"/>
        <w:ind w:firstLine="3780" w:firstLineChars="1800"/>
        <w:jc w:val="both"/>
        <w:textAlignment w:val="auto"/>
        <w:rPr>
          <w:rFonts w:hint="eastAsia" w:ascii="黑体" w:hAnsi="黑体" w:eastAsia="黑体" w:cs="黑体"/>
          <w:sz w:val="21"/>
          <w:szCs w:val="21"/>
          <w:lang w:val="en-US" w:eastAsia="zh-CN"/>
        </w:rPr>
      </w:pPr>
    </w:p>
    <w:p w14:paraId="6228866C">
      <w:pPr>
        <w:keepNext w:val="0"/>
        <w:keepLines w:val="0"/>
        <w:pageBreakBefore w:val="0"/>
        <w:widowControl w:val="0"/>
        <w:kinsoku/>
        <w:wordWrap/>
        <w:overflowPunct/>
        <w:topLinePunct w:val="0"/>
        <w:autoSpaceDE/>
        <w:autoSpaceDN/>
        <w:bidi w:val="0"/>
        <w:adjustRightInd/>
        <w:snapToGrid/>
        <w:spacing w:line="440" w:lineRule="exact"/>
        <w:ind w:firstLine="3780" w:firstLineChars="1800"/>
        <w:jc w:val="both"/>
        <w:textAlignment w:val="auto"/>
        <w:rPr>
          <w:rFonts w:hint="eastAsia" w:ascii="黑体" w:hAnsi="黑体" w:eastAsia="黑体" w:cs="黑体"/>
          <w:sz w:val="21"/>
          <w:szCs w:val="21"/>
          <w:lang w:val="en-US" w:eastAsia="zh-CN"/>
        </w:rPr>
      </w:pPr>
    </w:p>
    <w:p w14:paraId="668F3370">
      <w:pPr>
        <w:keepNext w:val="0"/>
        <w:keepLines w:val="0"/>
        <w:pageBreakBefore w:val="0"/>
        <w:widowControl w:val="0"/>
        <w:kinsoku/>
        <w:wordWrap/>
        <w:overflowPunct/>
        <w:topLinePunct w:val="0"/>
        <w:autoSpaceDE/>
        <w:autoSpaceDN/>
        <w:bidi w:val="0"/>
        <w:adjustRightInd/>
        <w:snapToGrid/>
        <w:spacing w:line="440" w:lineRule="exact"/>
        <w:ind w:firstLine="3780" w:firstLineChars="1800"/>
        <w:jc w:val="both"/>
        <w:textAlignment w:val="auto"/>
        <w:rPr>
          <w:rFonts w:hint="eastAsia" w:ascii="宋体" w:hAnsi="宋体" w:eastAsia="宋体" w:cs="宋体"/>
          <w:sz w:val="21"/>
          <w:szCs w:val="21"/>
          <w:lang w:val="en-US" w:eastAsia="zh-CN"/>
        </w:rPr>
      </w:pPr>
      <w:r>
        <w:rPr>
          <w:rFonts w:hint="eastAsia" w:ascii="黑体" w:hAnsi="黑体" w:eastAsia="黑体" w:cs="黑体"/>
          <w:sz w:val="21"/>
          <w:szCs w:val="21"/>
          <w:lang w:val="en-US" w:eastAsia="zh-CN"/>
        </w:rPr>
        <w:t>图1</w:t>
      </w:r>
    </w:p>
    <w:p w14:paraId="7862136E">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陕西省榆林市是我国重要的能源基地，煤炭储量预测6940亿吨，探明储量1500亿吨。全市有54%的地下含煤，约占全国储量的五分之一。侏罗纪煤田是该市的主力煤田，探明储量1388亿吨，占榆林市已探明煤炭总量95.7%，埋藏浅，易开采，均可作为兰炭工业的主要原材料。</w:t>
      </w:r>
    </w:p>
    <w:p w14:paraId="39EE8EF1">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截止2023年底，陕西省榆林市兰炭产业消耗原煤5500万吨左右，稳稳占据了榆林煤炭加工转化量的三分之二。陕西省榆林市已成为我国乃至全世界名副其实的能源大市、兰炭大市。综上所述，陕西省环境监测中心站具备编制《排污单位自行监测技术指南 兰炭工业》的客观环境条件。</w:t>
      </w:r>
    </w:p>
    <w:p w14:paraId="18806B49">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1.2 工作过程</w:t>
      </w:r>
    </w:p>
    <w:p w14:paraId="700DC329">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下达后，陕西省环境监测中心站成立了技术指南编制组，制定了技术指南编制的技术路线图，见图2；编制组内部分工情况如下，陕西省环境监测中心站、榆林市环境监测总站和西安市环境保护科学研究院负责标准文本的起草、修改、征求意见的收集和汇总以及现场调研等其它工作。</w:t>
      </w:r>
    </w:p>
    <w:p w14:paraId="195FA630">
      <w:pPr>
        <w:keepNext w:val="0"/>
        <w:keepLines w:val="0"/>
        <w:pageBreakBefore w:val="0"/>
        <w:widowControl/>
        <w:tabs>
          <w:tab w:val="left" w:pos="840"/>
        </w:tabs>
        <w:kinsoku/>
        <w:wordWrap/>
        <w:overflowPunct/>
        <w:topLinePunct w:val="0"/>
        <w:autoSpaceDE w:val="0"/>
        <w:autoSpaceDN w:val="0"/>
        <w:bidi w:val="0"/>
        <w:adjustRightInd/>
        <w:snapToGrid w:val="0"/>
        <w:spacing w:after="0" w:line="500" w:lineRule="exact"/>
        <w:ind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w:t>
      </w:r>
      <w:r>
        <w:rPr>
          <w:rFonts w:hint="eastAsia" w:ascii="宋体" w:hAnsi="宋体" w:eastAsia="宋体" w:cs="宋体"/>
          <w:color w:val="auto"/>
          <w:spacing w:val="62"/>
          <w:sz w:val="21"/>
          <w:szCs w:val="21"/>
          <w:highlight w:val="none"/>
          <w:lang w:val="en-US" w:eastAsia="zh-CN"/>
        </w:rPr>
        <w:t>2</w:t>
      </w:r>
      <w:r>
        <w:rPr>
          <w:rFonts w:hint="eastAsia" w:ascii="宋体" w:hAnsi="宋体" w:eastAsia="宋体" w:cs="宋体"/>
          <w:color w:val="auto"/>
          <w:spacing w:val="62"/>
          <w:sz w:val="21"/>
          <w:szCs w:val="21"/>
          <w:highlight w:val="none"/>
        </w:rPr>
        <w:t>年</w:t>
      </w:r>
      <w:r>
        <w:rPr>
          <w:rFonts w:hint="eastAsia" w:ascii="宋体" w:hAnsi="宋体" w:eastAsia="宋体" w:cs="宋体"/>
          <w:color w:val="auto"/>
          <w:spacing w:val="64"/>
          <w:sz w:val="21"/>
          <w:szCs w:val="21"/>
          <w:highlight w:val="none"/>
        </w:rPr>
        <w:t>1</w:t>
      </w:r>
      <w:r>
        <w:rPr>
          <w:rFonts w:hint="eastAsia" w:ascii="宋体" w:hAnsi="宋体" w:eastAsia="宋体" w:cs="宋体"/>
          <w:color w:val="auto"/>
          <w:spacing w:val="4"/>
          <w:sz w:val="21"/>
          <w:szCs w:val="21"/>
          <w:highlight w:val="none"/>
        </w:rPr>
        <w:t>月</w:t>
      </w:r>
      <w:r>
        <w:rPr>
          <w:rFonts w:hint="eastAsia" w:ascii="宋体" w:hAnsi="宋体" w:eastAsia="宋体" w:cs="宋体"/>
          <w:color w:val="auto"/>
          <w:spacing w:val="2"/>
          <w:sz w:val="21"/>
          <w:szCs w:val="21"/>
          <w:highlight w:val="none"/>
        </w:rPr>
        <w:t>：陕</w:t>
      </w:r>
      <w:r>
        <w:rPr>
          <w:rFonts w:hint="eastAsia" w:ascii="宋体" w:hAnsi="宋体" w:eastAsia="宋体" w:cs="宋体"/>
          <w:color w:val="auto"/>
          <w:spacing w:val="4"/>
          <w:sz w:val="21"/>
          <w:szCs w:val="21"/>
          <w:highlight w:val="none"/>
        </w:rPr>
        <w:t>西省</w:t>
      </w:r>
      <w:r>
        <w:rPr>
          <w:rFonts w:hint="eastAsia" w:ascii="宋体" w:hAnsi="宋体" w:eastAsia="宋体" w:cs="宋体"/>
          <w:color w:val="auto"/>
          <w:spacing w:val="2"/>
          <w:sz w:val="21"/>
          <w:szCs w:val="21"/>
          <w:highlight w:val="none"/>
        </w:rPr>
        <w:t>环境</w:t>
      </w:r>
      <w:r>
        <w:rPr>
          <w:rFonts w:hint="eastAsia" w:ascii="宋体" w:hAnsi="宋体" w:eastAsia="宋体" w:cs="宋体"/>
          <w:color w:val="auto"/>
          <w:spacing w:val="4"/>
          <w:sz w:val="21"/>
          <w:szCs w:val="21"/>
          <w:highlight w:val="none"/>
        </w:rPr>
        <w:t>监</w:t>
      </w:r>
      <w:r>
        <w:rPr>
          <w:rFonts w:hint="eastAsia" w:ascii="宋体" w:hAnsi="宋体" w:eastAsia="宋体" w:cs="宋体"/>
          <w:color w:val="auto"/>
          <w:spacing w:val="2"/>
          <w:sz w:val="21"/>
          <w:szCs w:val="21"/>
          <w:highlight w:val="none"/>
        </w:rPr>
        <w:t>测</w:t>
      </w:r>
      <w:r>
        <w:rPr>
          <w:rFonts w:hint="eastAsia" w:ascii="宋体" w:hAnsi="宋体" w:eastAsia="宋体" w:cs="宋体"/>
          <w:color w:val="auto"/>
          <w:spacing w:val="4"/>
          <w:sz w:val="21"/>
          <w:szCs w:val="21"/>
          <w:highlight w:val="none"/>
        </w:rPr>
        <w:t>中</w:t>
      </w:r>
      <w:r>
        <w:rPr>
          <w:rFonts w:hint="eastAsia" w:ascii="宋体" w:hAnsi="宋体" w:eastAsia="宋体" w:cs="宋体"/>
          <w:color w:val="auto"/>
          <w:spacing w:val="2"/>
          <w:sz w:val="21"/>
          <w:szCs w:val="21"/>
          <w:highlight w:val="none"/>
        </w:rPr>
        <w:t>心</w:t>
      </w:r>
      <w:r>
        <w:rPr>
          <w:rFonts w:hint="eastAsia" w:ascii="宋体" w:hAnsi="宋体" w:eastAsia="宋体" w:cs="宋体"/>
          <w:color w:val="auto"/>
          <w:spacing w:val="4"/>
          <w:sz w:val="21"/>
          <w:szCs w:val="21"/>
          <w:highlight w:val="none"/>
        </w:rPr>
        <w:t>站</w:t>
      </w:r>
      <w:r>
        <w:rPr>
          <w:rFonts w:hint="eastAsia" w:ascii="宋体" w:hAnsi="宋体" w:eastAsia="宋体" w:cs="宋体"/>
          <w:color w:val="auto"/>
          <w:spacing w:val="2"/>
          <w:sz w:val="21"/>
          <w:szCs w:val="21"/>
          <w:highlight w:val="none"/>
        </w:rPr>
        <w:t>递交</w:t>
      </w:r>
      <w:r>
        <w:rPr>
          <w:rFonts w:hint="eastAsia" w:ascii="宋体" w:hAnsi="宋体" w:eastAsia="宋体" w:cs="宋体"/>
          <w:color w:val="auto"/>
          <w:spacing w:val="4"/>
          <w:sz w:val="21"/>
          <w:szCs w:val="21"/>
          <w:highlight w:val="none"/>
        </w:rPr>
        <w:t>了课</w:t>
      </w:r>
      <w:r>
        <w:rPr>
          <w:rFonts w:hint="eastAsia" w:ascii="宋体" w:hAnsi="宋体" w:eastAsia="宋体" w:cs="宋体"/>
          <w:color w:val="auto"/>
          <w:spacing w:val="2"/>
          <w:sz w:val="21"/>
          <w:szCs w:val="21"/>
          <w:highlight w:val="none"/>
        </w:rPr>
        <w:t>题申请</w:t>
      </w:r>
      <w:r>
        <w:rPr>
          <w:rFonts w:hint="eastAsia" w:ascii="宋体" w:hAnsi="宋体" w:eastAsia="宋体" w:cs="宋体"/>
          <w:color w:val="auto"/>
          <w:spacing w:val="6"/>
          <w:sz w:val="21"/>
          <w:szCs w:val="21"/>
          <w:highlight w:val="none"/>
        </w:rPr>
        <w:t>书</w:t>
      </w:r>
      <w:r>
        <w:rPr>
          <w:rFonts w:hint="eastAsia" w:ascii="宋体" w:hAnsi="宋体" w:eastAsia="宋体" w:cs="宋体"/>
          <w:color w:val="auto"/>
          <w:sz w:val="21"/>
          <w:szCs w:val="21"/>
          <w:highlight w:val="none"/>
        </w:rPr>
        <w:t>、</w:t>
      </w:r>
      <w:r>
        <w:rPr>
          <w:rFonts w:hint="eastAsia" w:ascii="宋体" w:hAnsi="宋体" w:eastAsia="宋体" w:cs="宋体"/>
          <w:color w:val="auto"/>
          <w:spacing w:val="2"/>
          <w:sz w:val="21"/>
          <w:szCs w:val="21"/>
          <w:highlight w:val="none"/>
        </w:rPr>
        <w:t>进行</w:t>
      </w:r>
      <w:r>
        <w:rPr>
          <w:rFonts w:hint="eastAsia" w:ascii="宋体" w:hAnsi="宋体" w:eastAsia="宋体" w:cs="宋体"/>
          <w:color w:val="auto"/>
          <w:spacing w:val="4"/>
          <w:sz w:val="21"/>
          <w:szCs w:val="21"/>
          <w:highlight w:val="none"/>
        </w:rPr>
        <w:t>了开</w:t>
      </w:r>
      <w:r>
        <w:rPr>
          <w:rFonts w:hint="eastAsia" w:ascii="宋体" w:hAnsi="宋体" w:eastAsia="宋体" w:cs="宋体"/>
          <w:color w:val="auto"/>
          <w:spacing w:val="2"/>
          <w:sz w:val="21"/>
          <w:szCs w:val="21"/>
          <w:highlight w:val="none"/>
        </w:rPr>
        <w:t>题论</w:t>
      </w:r>
      <w:r>
        <w:rPr>
          <w:rFonts w:hint="eastAsia" w:ascii="宋体" w:hAnsi="宋体" w:eastAsia="宋体" w:cs="宋体"/>
          <w:color w:val="auto"/>
          <w:sz w:val="21"/>
          <w:szCs w:val="21"/>
          <w:highlight w:val="none"/>
        </w:rPr>
        <w:t>证答辩。</w:t>
      </w:r>
    </w:p>
    <w:p w14:paraId="1F057FE6">
      <w:pPr>
        <w:keepNext w:val="0"/>
        <w:keepLines w:val="0"/>
        <w:pageBreakBefore w:val="0"/>
        <w:widowControl/>
        <w:tabs>
          <w:tab w:val="left" w:pos="840"/>
        </w:tabs>
        <w:kinsoku/>
        <w:wordWrap/>
        <w:overflowPunct/>
        <w:topLinePunct w:val="0"/>
        <w:autoSpaceDE w:val="0"/>
        <w:autoSpaceDN w:val="0"/>
        <w:bidi w:val="0"/>
        <w:adjustRightInd/>
        <w:snapToGrid w:val="0"/>
        <w:spacing w:after="0" w:line="500" w:lineRule="exact"/>
        <w:ind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w:t>
      </w:r>
      <w:r>
        <w:rPr>
          <w:rFonts w:hint="eastAsia" w:ascii="宋体" w:hAnsi="宋体" w:eastAsia="宋体" w:cs="宋体"/>
          <w:color w:val="auto"/>
          <w:spacing w:val="60"/>
          <w:sz w:val="21"/>
          <w:szCs w:val="21"/>
          <w:highlight w:val="none"/>
          <w:lang w:val="en-US" w:eastAsia="zh-CN"/>
        </w:rPr>
        <w:t>2</w:t>
      </w:r>
      <w:r>
        <w:rPr>
          <w:rFonts w:hint="eastAsia" w:ascii="宋体" w:hAnsi="宋体" w:eastAsia="宋体" w:cs="宋体"/>
          <w:color w:val="auto"/>
          <w:spacing w:val="60"/>
          <w:sz w:val="21"/>
          <w:szCs w:val="21"/>
          <w:highlight w:val="none"/>
        </w:rPr>
        <w:t>年5</w:t>
      </w:r>
      <w:r>
        <w:rPr>
          <w:rFonts w:hint="eastAsia" w:ascii="宋体" w:hAnsi="宋体" w:eastAsia="宋体" w:cs="宋体"/>
          <w:color w:val="auto"/>
          <w:sz w:val="21"/>
          <w:szCs w:val="21"/>
          <w:highlight w:val="none"/>
        </w:rPr>
        <w:t>月</w:t>
      </w:r>
      <w:r>
        <w:rPr>
          <w:rFonts w:hint="eastAsia" w:ascii="宋体" w:hAnsi="宋体" w:eastAsia="宋体" w:cs="宋体"/>
          <w:color w:val="auto"/>
          <w:spacing w:val="-16"/>
          <w:sz w:val="21"/>
          <w:szCs w:val="21"/>
          <w:highlight w:val="none"/>
        </w:rPr>
        <w:t>，</w:t>
      </w:r>
      <w:r>
        <w:rPr>
          <w:rFonts w:hint="eastAsia" w:ascii="宋体" w:hAnsi="宋体" w:eastAsia="宋体" w:cs="宋体"/>
          <w:color w:val="auto"/>
          <w:sz w:val="21"/>
          <w:szCs w:val="21"/>
          <w:highlight w:val="none"/>
        </w:rPr>
        <w:t>陕西省市场监督管理局将其列</w:t>
      </w:r>
      <w:r>
        <w:rPr>
          <w:rFonts w:hint="eastAsia" w:ascii="宋体" w:hAnsi="宋体" w:eastAsia="宋体" w:cs="宋体"/>
          <w:color w:val="auto"/>
          <w:spacing w:val="60"/>
          <w:sz w:val="21"/>
          <w:szCs w:val="21"/>
          <w:highlight w:val="none"/>
        </w:rPr>
        <w:t>入</w:t>
      </w:r>
      <w:r>
        <w:rPr>
          <w:rFonts w:hint="eastAsia" w:ascii="宋体" w:hAnsi="宋体" w:eastAsia="宋体" w:cs="宋体"/>
          <w:color w:val="auto"/>
          <w:sz w:val="21"/>
          <w:szCs w:val="21"/>
          <w:highlight w:val="none"/>
        </w:rPr>
        <w:t>202</w:t>
      </w:r>
      <w:r>
        <w:rPr>
          <w:rFonts w:hint="eastAsia" w:ascii="宋体" w:hAnsi="宋体" w:eastAsia="宋体" w:cs="宋体"/>
          <w:color w:val="auto"/>
          <w:spacing w:val="60"/>
          <w:sz w:val="21"/>
          <w:szCs w:val="21"/>
          <w:highlight w:val="none"/>
          <w:lang w:val="en-US" w:eastAsia="zh-CN"/>
        </w:rPr>
        <w:t>2</w:t>
      </w:r>
      <w:r>
        <w:rPr>
          <w:rFonts w:hint="eastAsia" w:ascii="宋体" w:hAnsi="宋体" w:eastAsia="宋体" w:cs="宋体"/>
          <w:color w:val="auto"/>
          <w:sz w:val="21"/>
          <w:szCs w:val="21"/>
          <w:highlight w:val="none"/>
        </w:rPr>
        <w:t>年地方标准计划中</w:t>
      </w:r>
      <w:r>
        <w:rPr>
          <w:rFonts w:hint="eastAsia" w:ascii="宋体" w:hAnsi="宋体" w:eastAsia="宋体" w:cs="宋体"/>
          <w:color w:val="auto"/>
          <w:spacing w:val="-18"/>
          <w:sz w:val="21"/>
          <w:szCs w:val="21"/>
          <w:highlight w:val="none"/>
        </w:rPr>
        <w:t>，</w:t>
      </w:r>
      <w:r>
        <w:rPr>
          <w:rFonts w:hint="eastAsia" w:ascii="宋体" w:hAnsi="宋体" w:eastAsia="宋体" w:cs="宋体"/>
          <w:color w:val="auto"/>
          <w:sz w:val="21"/>
          <w:szCs w:val="21"/>
          <w:highlight w:val="none"/>
        </w:rPr>
        <w:t>签署合同。</w:t>
      </w:r>
    </w:p>
    <w:p w14:paraId="7A64BAB6">
      <w:pPr>
        <w:keepNext w:val="0"/>
        <w:keepLines w:val="0"/>
        <w:pageBreakBefore w:val="0"/>
        <w:widowControl/>
        <w:kinsoku/>
        <w:wordWrap/>
        <w:overflowPunct/>
        <w:topLinePunct w:val="0"/>
        <w:autoSpaceDE w:val="0"/>
        <w:autoSpaceDN w:val="0"/>
        <w:bidi w:val="0"/>
        <w:adjustRightInd/>
        <w:snapToGrid w:val="0"/>
        <w:spacing w:after="0" w:line="500" w:lineRule="exact"/>
        <w:ind w:right="354"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w:t>
      </w:r>
      <w:r>
        <w:rPr>
          <w:rFonts w:hint="eastAsia" w:ascii="宋体" w:hAnsi="宋体" w:eastAsia="宋体" w:cs="宋体"/>
          <w:color w:val="auto"/>
          <w:spacing w:val="60"/>
          <w:sz w:val="21"/>
          <w:szCs w:val="21"/>
          <w:highlight w:val="none"/>
          <w:lang w:val="en-US" w:eastAsia="zh-CN"/>
        </w:rPr>
        <w:t>2</w:t>
      </w:r>
      <w:r>
        <w:rPr>
          <w:rFonts w:hint="eastAsia" w:ascii="宋体" w:hAnsi="宋体" w:eastAsia="宋体" w:cs="宋体"/>
          <w:color w:val="auto"/>
          <w:spacing w:val="60"/>
          <w:sz w:val="21"/>
          <w:szCs w:val="21"/>
          <w:highlight w:val="none"/>
        </w:rPr>
        <w:t>年</w:t>
      </w:r>
      <w:r>
        <w:rPr>
          <w:rFonts w:hint="eastAsia" w:ascii="宋体" w:hAnsi="宋体" w:eastAsia="宋体" w:cs="宋体"/>
          <w:color w:val="auto"/>
          <w:sz w:val="21"/>
          <w:szCs w:val="21"/>
          <w:highlight w:val="none"/>
        </w:rPr>
        <w:t>7-</w:t>
      </w:r>
      <w:r>
        <w:rPr>
          <w:rFonts w:hint="eastAsia" w:ascii="宋体" w:hAnsi="宋体" w:eastAsia="宋体" w:cs="宋体"/>
          <w:color w:val="auto"/>
          <w:spacing w:val="60"/>
          <w:sz w:val="21"/>
          <w:szCs w:val="21"/>
          <w:highlight w:val="none"/>
          <w:lang w:val="en-US" w:eastAsia="zh-CN"/>
        </w:rPr>
        <w:t>12</w:t>
      </w:r>
      <w:r>
        <w:rPr>
          <w:rFonts w:hint="eastAsia" w:ascii="宋体" w:hAnsi="宋体" w:eastAsia="宋体" w:cs="宋体"/>
          <w:color w:val="auto"/>
          <w:sz w:val="21"/>
          <w:szCs w:val="21"/>
          <w:highlight w:val="none"/>
        </w:rPr>
        <w:t>月</w:t>
      </w:r>
      <w:r>
        <w:rPr>
          <w:rFonts w:hint="eastAsia" w:ascii="宋体" w:hAnsi="宋体" w:eastAsia="宋体" w:cs="宋体"/>
          <w:color w:val="auto"/>
          <w:spacing w:val="-40"/>
          <w:sz w:val="21"/>
          <w:szCs w:val="21"/>
          <w:highlight w:val="none"/>
        </w:rPr>
        <w:t>：</w:t>
      </w:r>
      <w:r>
        <w:rPr>
          <w:rFonts w:hint="eastAsia" w:ascii="宋体" w:hAnsi="宋体" w:eastAsia="宋体" w:cs="宋体"/>
          <w:color w:val="auto"/>
          <w:sz w:val="21"/>
          <w:szCs w:val="21"/>
          <w:highlight w:val="none"/>
        </w:rPr>
        <w:t>成立规范编制项目组</w:t>
      </w:r>
      <w:r>
        <w:rPr>
          <w:rFonts w:hint="eastAsia" w:ascii="宋体" w:hAnsi="宋体" w:eastAsia="宋体" w:cs="宋体"/>
          <w:color w:val="auto"/>
          <w:spacing w:val="-36"/>
          <w:sz w:val="21"/>
          <w:szCs w:val="21"/>
          <w:highlight w:val="none"/>
        </w:rPr>
        <w:t>，</w:t>
      </w:r>
      <w:r>
        <w:rPr>
          <w:rFonts w:hint="eastAsia" w:ascii="宋体" w:hAnsi="宋体" w:eastAsia="宋体" w:cs="宋体"/>
          <w:color w:val="auto"/>
          <w:sz w:val="21"/>
          <w:szCs w:val="21"/>
          <w:highlight w:val="none"/>
        </w:rPr>
        <w:t>并启动规范编制工作</w:t>
      </w:r>
      <w:r>
        <w:rPr>
          <w:rFonts w:hint="eastAsia" w:ascii="宋体" w:hAnsi="宋体" w:eastAsia="宋体" w:cs="宋体"/>
          <w:color w:val="auto"/>
          <w:spacing w:val="-38"/>
          <w:sz w:val="21"/>
          <w:szCs w:val="21"/>
          <w:highlight w:val="none"/>
        </w:rPr>
        <w:t>，</w:t>
      </w:r>
      <w:r>
        <w:rPr>
          <w:rFonts w:hint="eastAsia" w:ascii="宋体" w:hAnsi="宋体" w:eastAsia="宋体" w:cs="宋体"/>
          <w:color w:val="auto"/>
          <w:sz w:val="21"/>
          <w:szCs w:val="21"/>
          <w:highlight w:val="none"/>
        </w:rPr>
        <w:t>进行资料收集和整理</w:t>
      </w:r>
      <w:r>
        <w:rPr>
          <w:rFonts w:hint="eastAsia" w:ascii="宋体" w:hAnsi="宋体" w:eastAsia="宋体" w:cs="宋体"/>
          <w:color w:val="auto"/>
          <w:spacing w:val="-14"/>
          <w:sz w:val="21"/>
          <w:szCs w:val="21"/>
          <w:highlight w:val="none"/>
        </w:rPr>
        <w:t>。</w:t>
      </w:r>
      <w:r>
        <w:rPr>
          <w:rFonts w:hint="eastAsia" w:ascii="宋体" w:hAnsi="宋体" w:eastAsia="宋体" w:cs="宋体"/>
          <w:color w:val="auto"/>
          <w:sz w:val="21"/>
          <w:szCs w:val="21"/>
          <w:highlight w:val="none"/>
        </w:rPr>
        <w:t>规范编制组查阅了我国现行</w:t>
      </w:r>
      <w:r>
        <w:rPr>
          <w:rFonts w:hint="eastAsia" w:ascii="宋体" w:hAnsi="宋体" w:eastAsia="宋体" w:cs="宋体"/>
          <w:color w:val="auto"/>
          <w:spacing w:val="62"/>
          <w:sz w:val="21"/>
          <w:szCs w:val="21"/>
          <w:highlight w:val="none"/>
        </w:rPr>
        <w:t>及</w:t>
      </w:r>
      <w:r>
        <w:rPr>
          <w:rFonts w:hint="eastAsia" w:ascii="宋体" w:hAnsi="宋体" w:eastAsia="宋体" w:cs="宋体"/>
          <w:color w:val="auto"/>
          <w:spacing w:val="-4"/>
          <w:sz w:val="21"/>
          <w:szCs w:val="21"/>
          <w:highlight w:val="none"/>
        </w:rPr>
        <w:t>I</w:t>
      </w:r>
      <w:r>
        <w:rPr>
          <w:rFonts w:hint="eastAsia" w:ascii="宋体" w:hAnsi="宋体" w:eastAsia="宋体" w:cs="宋体"/>
          <w:color w:val="auto"/>
          <w:spacing w:val="2"/>
          <w:sz w:val="21"/>
          <w:szCs w:val="21"/>
          <w:highlight w:val="none"/>
        </w:rPr>
        <w:t>SO</w:t>
      </w:r>
      <w:r>
        <w:rPr>
          <w:rFonts w:hint="eastAsia" w:ascii="宋体" w:hAnsi="宋体" w:eastAsia="宋体" w:cs="宋体"/>
          <w:color w:val="auto"/>
          <w:spacing w:val="-14"/>
          <w:sz w:val="21"/>
          <w:szCs w:val="21"/>
          <w:highlight w:val="none"/>
        </w:rPr>
        <w:t>、</w:t>
      </w:r>
      <w:r>
        <w:rPr>
          <w:rFonts w:hint="eastAsia" w:ascii="宋体" w:hAnsi="宋体" w:eastAsia="宋体" w:cs="宋体"/>
          <w:color w:val="auto"/>
          <w:sz w:val="21"/>
          <w:szCs w:val="21"/>
          <w:highlight w:val="none"/>
        </w:rPr>
        <w:t>美国</w:t>
      </w:r>
      <w:r>
        <w:rPr>
          <w:rFonts w:hint="eastAsia" w:ascii="宋体" w:hAnsi="宋体" w:eastAsia="宋体" w:cs="宋体"/>
          <w:color w:val="auto"/>
          <w:spacing w:val="-16"/>
          <w:sz w:val="21"/>
          <w:szCs w:val="21"/>
          <w:highlight w:val="none"/>
        </w:rPr>
        <w:t>、</w:t>
      </w:r>
      <w:r>
        <w:rPr>
          <w:rFonts w:hint="eastAsia" w:ascii="宋体" w:hAnsi="宋体" w:eastAsia="宋体" w:cs="宋体"/>
          <w:color w:val="auto"/>
          <w:sz w:val="21"/>
          <w:szCs w:val="21"/>
          <w:highlight w:val="none"/>
        </w:rPr>
        <w:t>欧盟</w:t>
      </w:r>
      <w:r>
        <w:rPr>
          <w:rFonts w:hint="eastAsia" w:ascii="宋体" w:hAnsi="宋体" w:eastAsia="宋体" w:cs="宋体"/>
          <w:color w:val="auto"/>
          <w:spacing w:val="-16"/>
          <w:sz w:val="21"/>
          <w:szCs w:val="21"/>
          <w:highlight w:val="none"/>
        </w:rPr>
        <w:t>、</w:t>
      </w:r>
      <w:r>
        <w:rPr>
          <w:rFonts w:hint="eastAsia" w:ascii="宋体" w:hAnsi="宋体" w:eastAsia="宋体" w:cs="宋体"/>
          <w:color w:val="auto"/>
          <w:sz w:val="21"/>
          <w:szCs w:val="21"/>
          <w:highlight w:val="none"/>
        </w:rPr>
        <w:t>日本等国家和地</w:t>
      </w:r>
      <w:r>
        <w:rPr>
          <w:rFonts w:hint="eastAsia" w:ascii="宋体" w:hAnsi="宋体" w:eastAsia="宋体" w:cs="宋体"/>
          <w:color w:val="auto"/>
          <w:spacing w:val="4"/>
          <w:sz w:val="21"/>
          <w:szCs w:val="21"/>
          <w:highlight w:val="none"/>
        </w:rPr>
        <w:t>区的</w:t>
      </w:r>
      <w:r>
        <w:rPr>
          <w:rFonts w:hint="eastAsia" w:ascii="宋体" w:hAnsi="宋体" w:eastAsia="宋体" w:cs="宋体"/>
          <w:color w:val="auto"/>
          <w:spacing w:val="4"/>
          <w:sz w:val="21"/>
          <w:szCs w:val="21"/>
          <w:highlight w:val="none"/>
          <w:lang w:val="en-US" w:eastAsia="zh-CN"/>
        </w:rPr>
        <w:t>相关</w:t>
      </w:r>
      <w:r>
        <w:rPr>
          <w:rFonts w:hint="eastAsia" w:ascii="宋体" w:hAnsi="宋体" w:eastAsia="宋体" w:cs="宋体"/>
          <w:color w:val="auto"/>
          <w:spacing w:val="6"/>
          <w:sz w:val="21"/>
          <w:szCs w:val="21"/>
          <w:highlight w:val="none"/>
        </w:rPr>
        <w:t>法</w:t>
      </w:r>
      <w:r>
        <w:rPr>
          <w:rFonts w:hint="eastAsia" w:ascii="宋体" w:hAnsi="宋体" w:eastAsia="宋体" w:cs="宋体"/>
          <w:color w:val="auto"/>
          <w:spacing w:val="2"/>
          <w:sz w:val="21"/>
          <w:szCs w:val="21"/>
          <w:highlight w:val="none"/>
        </w:rPr>
        <w:t>规</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6"/>
          <w:sz w:val="21"/>
          <w:szCs w:val="21"/>
          <w:highlight w:val="none"/>
        </w:rPr>
        <w:t>标</w:t>
      </w:r>
      <w:r>
        <w:rPr>
          <w:rFonts w:hint="eastAsia" w:ascii="宋体" w:hAnsi="宋体" w:eastAsia="宋体" w:cs="宋体"/>
          <w:color w:val="auto"/>
          <w:spacing w:val="4"/>
          <w:sz w:val="21"/>
          <w:szCs w:val="21"/>
          <w:highlight w:val="none"/>
        </w:rPr>
        <w:t>准和</w:t>
      </w:r>
      <w:r>
        <w:rPr>
          <w:rFonts w:hint="eastAsia" w:ascii="宋体" w:hAnsi="宋体" w:eastAsia="宋体" w:cs="宋体"/>
          <w:color w:val="auto"/>
          <w:spacing w:val="6"/>
          <w:sz w:val="21"/>
          <w:szCs w:val="21"/>
          <w:highlight w:val="none"/>
          <w:lang w:eastAsia="zh-CN"/>
        </w:rPr>
        <w:t>技术指南</w:t>
      </w:r>
      <w:r>
        <w:rPr>
          <w:rFonts w:hint="eastAsia" w:ascii="宋体" w:hAnsi="宋体" w:eastAsia="宋体" w:cs="宋体"/>
          <w:color w:val="auto"/>
          <w:spacing w:val="4"/>
          <w:sz w:val="21"/>
          <w:szCs w:val="21"/>
          <w:highlight w:val="none"/>
        </w:rPr>
        <w:t>等</w:t>
      </w:r>
      <w:r>
        <w:rPr>
          <w:rFonts w:hint="eastAsia" w:ascii="宋体" w:hAnsi="宋体" w:eastAsia="宋体" w:cs="宋体"/>
          <w:color w:val="auto"/>
          <w:sz w:val="21"/>
          <w:szCs w:val="21"/>
          <w:highlight w:val="none"/>
        </w:rPr>
        <w:t>讨论并确定了规范编制的技术路线。</w:t>
      </w:r>
    </w:p>
    <w:p w14:paraId="67F58B8C">
      <w:pPr>
        <w:keepNext w:val="0"/>
        <w:keepLines w:val="0"/>
        <w:pageBreakBefore w:val="0"/>
        <w:widowControl/>
        <w:kinsoku/>
        <w:wordWrap/>
        <w:overflowPunct/>
        <w:topLinePunct w:val="0"/>
        <w:autoSpaceDE w:val="0"/>
        <w:autoSpaceDN w:val="0"/>
        <w:bidi w:val="0"/>
        <w:adjustRightInd/>
        <w:snapToGrid w:val="0"/>
        <w:spacing w:after="0" w:line="500" w:lineRule="exact"/>
        <w:ind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w:t>
      </w:r>
      <w:r>
        <w:rPr>
          <w:rFonts w:hint="eastAsia" w:ascii="宋体" w:hAnsi="宋体" w:eastAsia="宋体" w:cs="宋体"/>
          <w:color w:val="auto"/>
          <w:spacing w:val="60"/>
          <w:sz w:val="21"/>
          <w:szCs w:val="21"/>
          <w:highlight w:val="none"/>
          <w:lang w:val="en-US" w:eastAsia="zh-CN"/>
        </w:rPr>
        <w:t>3</w:t>
      </w:r>
      <w:r>
        <w:rPr>
          <w:rFonts w:hint="eastAsia" w:ascii="宋体" w:hAnsi="宋体" w:eastAsia="宋体" w:cs="宋体"/>
          <w:color w:val="auto"/>
          <w:spacing w:val="60"/>
          <w:sz w:val="21"/>
          <w:szCs w:val="21"/>
          <w:highlight w:val="none"/>
        </w:rPr>
        <w:t>年</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pacing w:val="-8"/>
          <w:sz w:val="21"/>
          <w:szCs w:val="21"/>
          <w:highlight w:val="none"/>
        </w:rPr>
        <w:t>1</w:t>
      </w:r>
      <w:r>
        <w:rPr>
          <w:rFonts w:hint="eastAsia" w:ascii="宋体" w:hAnsi="宋体" w:eastAsia="宋体" w:cs="宋体"/>
          <w:color w:val="auto"/>
          <w:spacing w:val="60"/>
          <w:sz w:val="21"/>
          <w:szCs w:val="21"/>
          <w:highlight w:val="none"/>
          <w:lang w:val="en-US" w:eastAsia="zh-CN"/>
        </w:rPr>
        <w:t>2</w:t>
      </w:r>
      <w:r>
        <w:rPr>
          <w:rFonts w:hint="eastAsia" w:ascii="宋体" w:hAnsi="宋体" w:eastAsia="宋体" w:cs="宋体"/>
          <w:color w:val="auto"/>
          <w:sz w:val="21"/>
          <w:szCs w:val="21"/>
          <w:highlight w:val="none"/>
        </w:rPr>
        <w:t>月：</w:t>
      </w:r>
      <w:r>
        <w:rPr>
          <w:rFonts w:hint="eastAsia" w:ascii="宋体" w:hAnsi="宋体" w:eastAsia="宋体" w:cs="宋体"/>
          <w:color w:val="auto"/>
          <w:spacing w:val="-2"/>
          <w:sz w:val="21"/>
          <w:szCs w:val="21"/>
          <w:highlight w:val="none"/>
          <w:lang w:val="en-US" w:eastAsia="zh-CN"/>
        </w:rPr>
        <w:t>开展兰炭工业</w:t>
      </w:r>
      <w:r>
        <w:rPr>
          <w:rFonts w:hint="eastAsia" w:ascii="宋体" w:hAnsi="宋体" w:eastAsia="宋体" w:cs="宋体"/>
          <w:color w:val="auto"/>
          <w:sz w:val="21"/>
          <w:szCs w:val="21"/>
          <w:highlight w:val="none"/>
        </w:rPr>
        <w:t>污染源现场调研</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在我国相当规模的</w:t>
      </w:r>
      <w:r>
        <w:rPr>
          <w:rFonts w:hint="eastAsia" w:ascii="宋体" w:hAnsi="宋体" w:eastAsia="宋体" w:cs="宋体"/>
          <w:color w:val="auto"/>
          <w:sz w:val="21"/>
          <w:szCs w:val="21"/>
          <w:highlight w:val="none"/>
          <w:lang w:eastAsia="zh-CN"/>
        </w:rPr>
        <w:t>兰炭</w:t>
      </w:r>
      <w:r>
        <w:rPr>
          <w:rFonts w:hint="eastAsia" w:ascii="宋体" w:hAnsi="宋体" w:eastAsia="宋体" w:cs="宋体"/>
          <w:color w:val="auto"/>
          <w:sz w:val="21"/>
          <w:szCs w:val="21"/>
          <w:highlight w:val="none"/>
        </w:rPr>
        <w:t>行业中，选取不同规模、工艺的各种有代表性的企业进行现场调研，对其生产工艺、产污环节、各排放环节、污染因子，对周边环境污染情况进行详细了解。</w:t>
      </w:r>
    </w:p>
    <w:p w14:paraId="6AF2452E">
      <w:pPr>
        <w:keepNext w:val="0"/>
        <w:keepLines w:val="0"/>
        <w:pageBreakBefore w:val="0"/>
        <w:widowControl/>
        <w:kinsoku/>
        <w:wordWrap/>
        <w:overflowPunct/>
        <w:topLinePunct w:val="0"/>
        <w:autoSpaceDE w:val="0"/>
        <w:autoSpaceDN w:val="0"/>
        <w:bidi w:val="0"/>
        <w:adjustRightInd/>
        <w:snapToGrid w:val="0"/>
        <w:spacing w:after="0" w:line="500" w:lineRule="exact"/>
        <w:ind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w:t>
      </w:r>
      <w:r>
        <w:rPr>
          <w:rFonts w:hint="eastAsia" w:ascii="宋体" w:hAnsi="宋体" w:eastAsia="宋体" w:cs="宋体"/>
          <w:color w:val="auto"/>
          <w:spacing w:val="60"/>
          <w:sz w:val="21"/>
          <w:szCs w:val="21"/>
          <w:highlight w:val="none"/>
          <w:lang w:val="en-US" w:eastAsia="zh-CN"/>
        </w:rPr>
        <w:t>4</w:t>
      </w:r>
      <w:r>
        <w:rPr>
          <w:rFonts w:hint="eastAsia" w:ascii="宋体" w:hAnsi="宋体" w:eastAsia="宋体" w:cs="宋体"/>
          <w:color w:val="auto"/>
          <w:spacing w:val="60"/>
          <w:sz w:val="21"/>
          <w:szCs w:val="21"/>
          <w:highlight w:val="none"/>
        </w:rPr>
        <w:t>年</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月-202</w:t>
      </w:r>
      <w:r>
        <w:rPr>
          <w:rFonts w:hint="eastAsia" w:ascii="宋体" w:hAnsi="宋体" w:eastAsia="宋体" w:cs="宋体"/>
          <w:color w:val="auto"/>
          <w:spacing w:val="60"/>
          <w:sz w:val="21"/>
          <w:szCs w:val="21"/>
          <w:highlight w:val="none"/>
          <w:lang w:val="en-US" w:eastAsia="zh-CN"/>
        </w:rPr>
        <w:t>4</w:t>
      </w:r>
      <w:r>
        <w:rPr>
          <w:rFonts w:hint="eastAsia" w:ascii="宋体" w:hAnsi="宋体" w:eastAsia="宋体" w:cs="宋体"/>
          <w:color w:val="auto"/>
          <w:spacing w:val="60"/>
          <w:sz w:val="21"/>
          <w:szCs w:val="21"/>
          <w:highlight w:val="none"/>
        </w:rPr>
        <w:t>年</w:t>
      </w:r>
      <w:r>
        <w:rPr>
          <w:rFonts w:hint="eastAsia" w:ascii="宋体" w:hAnsi="宋体" w:eastAsia="宋体" w:cs="宋体"/>
          <w:color w:val="auto"/>
          <w:spacing w:val="60"/>
          <w:sz w:val="21"/>
          <w:szCs w:val="21"/>
          <w:highlight w:val="none"/>
          <w:lang w:val="en-US" w:eastAsia="zh-CN"/>
        </w:rPr>
        <w:t>6</w:t>
      </w:r>
      <w:r>
        <w:rPr>
          <w:rFonts w:hint="eastAsia" w:ascii="宋体" w:hAnsi="宋体" w:eastAsia="宋体" w:cs="宋体"/>
          <w:color w:val="auto"/>
          <w:sz w:val="21"/>
          <w:szCs w:val="21"/>
          <w:highlight w:val="none"/>
        </w:rPr>
        <w:t>月，形成</w:t>
      </w:r>
      <w:r>
        <w:rPr>
          <w:rFonts w:hint="eastAsia" w:ascii="宋体" w:hAnsi="宋体" w:eastAsia="宋体" w:cs="宋体"/>
          <w:color w:val="auto"/>
          <w:sz w:val="21"/>
          <w:szCs w:val="21"/>
          <w:highlight w:val="none"/>
          <w:lang w:eastAsia="zh-CN"/>
        </w:rPr>
        <w:t>技术指南</w:t>
      </w:r>
      <w:r>
        <w:rPr>
          <w:rFonts w:hint="eastAsia" w:ascii="宋体" w:hAnsi="宋体" w:eastAsia="宋体" w:cs="宋体"/>
          <w:color w:val="auto"/>
          <w:sz w:val="21"/>
          <w:szCs w:val="21"/>
          <w:highlight w:val="none"/>
        </w:rPr>
        <w:t>（草案）及编制说明（草稿）。</w:t>
      </w:r>
    </w:p>
    <w:p w14:paraId="5D151819">
      <w:pPr>
        <w:keepNext w:val="0"/>
        <w:keepLines w:val="0"/>
        <w:pageBreakBefore w:val="0"/>
        <w:widowControl/>
        <w:kinsoku/>
        <w:wordWrap/>
        <w:overflowPunct/>
        <w:topLinePunct w:val="0"/>
        <w:autoSpaceDE w:val="0"/>
        <w:autoSpaceDN w:val="0"/>
        <w:bidi w:val="0"/>
        <w:adjustRightInd/>
        <w:snapToGrid w:val="0"/>
        <w:spacing w:after="0" w:line="500" w:lineRule="exact"/>
        <w:ind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2024年6月-2024年11月，按照审查意见进一步调研，查阅资料，</w:t>
      </w:r>
      <w:r>
        <w:rPr>
          <w:rFonts w:hint="eastAsia" w:ascii="宋体" w:hAnsi="宋体" w:eastAsia="宋体" w:cs="宋体"/>
          <w:color w:val="auto"/>
          <w:sz w:val="21"/>
          <w:szCs w:val="21"/>
          <w:highlight w:val="none"/>
          <w:lang w:eastAsia="zh-CN"/>
        </w:rPr>
        <w:t>技术指南</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征求意见稿</w:t>
      </w:r>
      <w:r>
        <w:rPr>
          <w:rFonts w:hint="eastAsia" w:ascii="宋体" w:hAnsi="宋体" w:eastAsia="宋体" w:cs="宋体"/>
          <w:color w:val="auto"/>
          <w:sz w:val="21"/>
          <w:szCs w:val="21"/>
          <w:highlight w:val="none"/>
        </w:rPr>
        <w:t>）及编制说明（</w:t>
      </w:r>
      <w:r>
        <w:rPr>
          <w:rFonts w:hint="eastAsia" w:ascii="宋体" w:hAnsi="宋体" w:eastAsia="宋体" w:cs="宋体"/>
          <w:color w:val="auto"/>
          <w:sz w:val="21"/>
          <w:szCs w:val="21"/>
          <w:highlight w:val="none"/>
          <w:lang w:val="en-US" w:eastAsia="zh-CN"/>
        </w:rPr>
        <w:t>求意见稿</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由生态环境厅征求意见。</w:t>
      </w:r>
    </w:p>
    <w:p w14:paraId="110DC55C">
      <w:pPr>
        <w:keepNext w:val="0"/>
        <w:keepLines w:val="0"/>
        <w:pageBreakBefore w:val="0"/>
        <w:widowControl/>
        <w:kinsoku/>
        <w:wordWrap/>
        <w:overflowPunct/>
        <w:topLinePunct w:val="0"/>
        <w:autoSpaceDE w:val="0"/>
        <w:autoSpaceDN w:val="0"/>
        <w:bidi w:val="0"/>
        <w:adjustRightInd/>
        <w:snapToGrid w:val="0"/>
        <w:spacing w:after="0" w:line="500" w:lineRule="exact"/>
        <w:ind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2024年11月26日至12月25日，通过厅门户网站向社会公开征集意见，共11家单位提出11条意见建议，均已采纳修改。</w:t>
      </w:r>
    </w:p>
    <w:p w14:paraId="0009066E">
      <w:pPr>
        <w:keepNext w:val="0"/>
        <w:keepLines w:val="0"/>
        <w:pageBreakBefore w:val="0"/>
        <w:widowControl/>
        <w:kinsoku/>
        <w:wordWrap/>
        <w:overflowPunct/>
        <w:topLinePunct w:val="0"/>
        <w:autoSpaceDE w:val="0"/>
        <w:autoSpaceDN w:val="0"/>
        <w:bidi w:val="0"/>
        <w:adjustRightInd/>
        <w:snapToGrid w:val="0"/>
        <w:spacing w:after="0" w:line="500" w:lineRule="exact"/>
        <w:ind w:right="0" w:firstLine="420" w:firstLineChars="200"/>
        <w:jc w:val="center"/>
        <w:textAlignment w:val="auto"/>
        <w:rPr>
          <w:rFonts w:hint="eastAsia" w:ascii="黑体" w:hAnsi="黑体" w:eastAsia="黑体" w:cs="黑体"/>
          <w:b w:val="0"/>
          <w:bCs w:val="0"/>
          <w:sz w:val="21"/>
          <w:szCs w:val="21"/>
          <w:lang w:val="en-US" w:eastAsia="zh-CN"/>
        </w:rPr>
      </w:pPr>
      <w:r>
        <w:rPr>
          <w:rFonts w:hint="eastAsia" w:ascii="黑体" w:hAnsi="黑体" w:eastAsia="黑体" w:cs="黑体"/>
          <w:sz w:val="21"/>
          <w:szCs w:val="21"/>
        </w:rPr>
        <w:drawing>
          <wp:anchor distT="0" distB="0" distL="114300" distR="114300" simplePos="0" relativeHeight="251660288" behindDoc="0" locked="0" layoutInCell="1" allowOverlap="1">
            <wp:simplePos x="0" y="0"/>
            <wp:positionH relativeFrom="column">
              <wp:posOffset>632460</wp:posOffset>
            </wp:positionH>
            <wp:positionV relativeFrom="paragraph">
              <wp:posOffset>58420</wp:posOffset>
            </wp:positionV>
            <wp:extent cx="3928745" cy="5283200"/>
            <wp:effectExtent l="0" t="0" r="14605" b="12700"/>
            <wp:wrapTopAndBottom/>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6"/>
                    <a:stretch>
                      <a:fillRect/>
                    </a:stretch>
                  </pic:blipFill>
                  <pic:spPr>
                    <a:xfrm>
                      <a:off x="0" y="0"/>
                      <a:ext cx="3928745" cy="5283200"/>
                    </a:xfrm>
                    <a:prstGeom prst="rect">
                      <a:avLst/>
                    </a:prstGeom>
                    <a:noFill/>
                    <a:ln>
                      <a:noFill/>
                    </a:ln>
                  </pic:spPr>
                </pic:pic>
              </a:graphicData>
            </a:graphic>
          </wp:anchor>
        </w:drawing>
      </w:r>
      <w:r>
        <w:rPr>
          <w:rFonts w:hint="eastAsia" w:ascii="黑体" w:hAnsi="黑体" w:eastAsia="黑体" w:cs="黑体"/>
          <w:b w:val="0"/>
          <w:bCs w:val="0"/>
          <w:sz w:val="21"/>
          <w:szCs w:val="21"/>
          <w:lang w:val="en-US" w:eastAsia="zh-CN"/>
        </w:rPr>
        <w:t>图2</w:t>
      </w:r>
    </w:p>
    <w:p w14:paraId="62828628">
      <w:pPr>
        <w:spacing w:line="360" w:lineRule="auto"/>
        <w:ind w:firstLine="480" w:firstLineChars="200"/>
        <w:jc w:val="left"/>
        <w:rPr>
          <w:rFonts w:hint="eastAsia" w:hAnsi="宋体"/>
          <w:sz w:val="24"/>
          <w:szCs w:val="24"/>
        </w:rPr>
      </w:pPr>
      <w:r>
        <w:rPr>
          <w:rFonts w:hint="eastAsia" w:hAnsi="宋体"/>
          <w:sz w:val="24"/>
          <w:szCs w:val="24"/>
        </w:rPr>
        <w:t>202</w:t>
      </w:r>
      <w:r>
        <w:rPr>
          <w:rFonts w:hint="eastAsia" w:hAnsi="宋体"/>
          <w:sz w:val="24"/>
          <w:szCs w:val="24"/>
          <w:lang w:val="en-US" w:eastAsia="zh-CN"/>
        </w:rPr>
        <w:t>5</w:t>
      </w:r>
      <w:r>
        <w:rPr>
          <w:rFonts w:hint="eastAsia" w:hAnsi="宋体"/>
          <w:sz w:val="24"/>
          <w:szCs w:val="24"/>
        </w:rPr>
        <w:t>年</w:t>
      </w:r>
      <w:r>
        <w:rPr>
          <w:rFonts w:hint="eastAsia" w:hAnsi="宋体"/>
          <w:sz w:val="24"/>
          <w:szCs w:val="24"/>
          <w:lang w:val="en-US" w:eastAsia="zh-CN"/>
        </w:rPr>
        <w:t>3</w:t>
      </w:r>
      <w:r>
        <w:rPr>
          <w:rFonts w:hint="eastAsia" w:hAnsi="宋体"/>
          <w:sz w:val="24"/>
          <w:szCs w:val="24"/>
        </w:rPr>
        <w:t>月，由省</w:t>
      </w:r>
      <w:r>
        <w:rPr>
          <w:rFonts w:hint="eastAsia" w:hAnsi="宋体"/>
          <w:sz w:val="24"/>
          <w:szCs w:val="24"/>
          <w:lang w:val="en-US" w:eastAsia="zh-CN"/>
        </w:rPr>
        <w:t>生态环境厅</w:t>
      </w:r>
      <w:r>
        <w:rPr>
          <w:rFonts w:hint="eastAsia" w:hAnsi="宋体"/>
          <w:sz w:val="24"/>
          <w:szCs w:val="24"/>
        </w:rPr>
        <w:t>组织</w:t>
      </w:r>
      <w:r>
        <w:rPr>
          <w:rFonts w:hint="eastAsia" w:hAnsi="宋体"/>
          <w:sz w:val="24"/>
          <w:szCs w:val="24"/>
          <w:lang w:val="en-US" w:eastAsia="zh-CN"/>
        </w:rPr>
        <w:t>审查会</w:t>
      </w:r>
      <w:r>
        <w:rPr>
          <w:rFonts w:hint="eastAsia" w:hAnsi="宋体"/>
          <w:sz w:val="24"/>
          <w:szCs w:val="24"/>
        </w:rPr>
        <w:t>，</w:t>
      </w:r>
      <w:r>
        <w:rPr>
          <w:rFonts w:hint="eastAsia" w:hAnsi="宋体"/>
          <w:sz w:val="24"/>
          <w:szCs w:val="24"/>
          <w:lang w:val="en-US" w:eastAsia="zh-CN"/>
        </w:rPr>
        <w:t>形成审查意见并修改</w:t>
      </w:r>
      <w:r>
        <w:rPr>
          <w:rFonts w:hint="eastAsia" w:hAnsi="宋体"/>
          <w:sz w:val="24"/>
          <w:szCs w:val="24"/>
        </w:rPr>
        <w:t>。</w:t>
      </w:r>
    </w:p>
    <w:p w14:paraId="5C3AF224">
      <w:pPr>
        <w:keepNext w:val="0"/>
        <w:keepLines w:val="0"/>
        <w:pageBreakBefore w:val="0"/>
        <w:widowControl/>
        <w:kinsoku/>
        <w:wordWrap/>
        <w:overflowPunct/>
        <w:topLinePunct w:val="0"/>
        <w:autoSpaceDE w:val="0"/>
        <w:autoSpaceDN w:val="0"/>
        <w:bidi w:val="0"/>
        <w:adjustRightInd/>
        <w:snapToGrid w:val="0"/>
        <w:spacing w:after="0" w:line="500" w:lineRule="exact"/>
        <w:ind w:right="0" w:firstLine="480" w:firstLineChars="200"/>
        <w:jc w:val="left"/>
        <w:textAlignment w:val="auto"/>
        <w:rPr>
          <w:rFonts w:hint="eastAsia" w:ascii="黑体" w:hAnsi="黑体" w:eastAsia="黑体" w:cs="黑体"/>
          <w:b w:val="0"/>
          <w:bCs w:val="0"/>
          <w:sz w:val="21"/>
          <w:szCs w:val="21"/>
          <w:lang w:val="en-US" w:eastAsia="zh-CN"/>
        </w:rPr>
      </w:pPr>
      <w:r>
        <w:rPr>
          <w:rFonts w:hint="eastAsia" w:hAnsi="宋体"/>
          <w:sz w:val="24"/>
          <w:szCs w:val="24"/>
        </w:rPr>
        <w:t>202</w:t>
      </w:r>
      <w:r>
        <w:rPr>
          <w:rFonts w:hint="eastAsia" w:hAnsi="宋体"/>
          <w:sz w:val="24"/>
          <w:szCs w:val="24"/>
          <w:lang w:val="en-US" w:eastAsia="zh-CN"/>
        </w:rPr>
        <w:t>5</w:t>
      </w:r>
      <w:r>
        <w:rPr>
          <w:rFonts w:hint="eastAsia" w:hAnsi="宋体"/>
          <w:sz w:val="24"/>
          <w:szCs w:val="24"/>
        </w:rPr>
        <w:t>年 月，形成</w:t>
      </w:r>
      <w:r>
        <w:rPr>
          <w:rFonts w:hint="eastAsia" w:hAnsi="宋体"/>
          <w:sz w:val="24"/>
          <w:szCs w:val="24"/>
          <w:lang w:eastAsia="zh-CN"/>
        </w:rPr>
        <w:t>技术指南</w:t>
      </w:r>
      <w:r>
        <w:rPr>
          <w:rFonts w:hint="eastAsia" w:hAnsi="宋体"/>
          <w:sz w:val="24"/>
          <w:szCs w:val="24"/>
        </w:rPr>
        <w:t>（报批稿）及编制说明（报批稿），报省市场监督管理局。</w:t>
      </w:r>
    </w:p>
    <w:p w14:paraId="1A2775DE">
      <w:pPr>
        <w:keepNext w:val="0"/>
        <w:keepLines w:val="0"/>
        <w:pageBreakBefore w:val="0"/>
        <w:widowControl w:val="0"/>
        <w:kinsoku/>
        <w:wordWrap/>
        <w:overflowPunct/>
        <w:topLinePunct w:val="0"/>
        <w:autoSpaceDE w:val="0"/>
        <w:autoSpaceDN w:val="0"/>
        <w:bidi w:val="0"/>
        <w:adjustRightInd w:val="0"/>
        <w:snapToGrid/>
        <w:spacing w:before="157" w:beforeLines="50" w:line="360" w:lineRule="auto"/>
        <w:jc w:val="center"/>
        <w:textAlignment w:val="auto"/>
        <w:rPr>
          <w:rFonts w:hint="eastAsia" w:asciiTheme="majorEastAsia" w:hAnsiTheme="majorEastAsia" w:eastAsiaTheme="majorEastAsia" w:cstheme="majorEastAsia"/>
          <w:b/>
          <w:bCs/>
          <w:color w:val="000000"/>
          <w:sz w:val="21"/>
          <w:szCs w:val="21"/>
          <w:lang w:val="en-US" w:eastAsia="zh-CN"/>
        </w:rPr>
      </w:pPr>
      <w:bookmarkStart w:id="8" w:name="_Toc25109"/>
      <w:bookmarkStart w:id="9" w:name="_Toc8583"/>
    </w:p>
    <w:p w14:paraId="71377CF0">
      <w:pPr>
        <w:keepNext w:val="0"/>
        <w:keepLines w:val="0"/>
        <w:pageBreakBefore w:val="0"/>
        <w:widowControl w:val="0"/>
        <w:kinsoku/>
        <w:wordWrap/>
        <w:overflowPunct/>
        <w:topLinePunct w:val="0"/>
        <w:autoSpaceDE w:val="0"/>
        <w:autoSpaceDN w:val="0"/>
        <w:bidi w:val="0"/>
        <w:adjustRightInd w:val="0"/>
        <w:snapToGrid/>
        <w:spacing w:before="157" w:beforeLines="50" w:line="360" w:lineRule="auto"/>
        <w:jc w:val="center"/>
        <w:textAlignment w:val="auto"/>
        <w:rPr>
          <w:rFonts w:hint="eastAsia" w:asciiTheme="majorEastAsia" w:hAnsiTheme="majorEastAsia" w:eastAsiaTheme="majorEastAsia" w:cstheme="majorEastAsia"/>
          <w:b/>
          <w:bCs/>
          <w:color w:val="000000"/>
          <w:sz w:val="21"/>
          <w:szCs w:val="21"/>
          <w:lang w:val="en-US" w:eastAsia="zh-CN"/>
        </w:rPr>
      </w:pPr>
    </w:p>
    <w:p w14:paraId="4A182D19">
      <w:pPr>
        <w:keepNext w:val="0"/>
        <w:keepLines w:val="0"/>
        <w:pageBreakBefore w:val="0"/>
        <w:widowControl w:val="0"/>
        <w:kinsoku/>
        <w:wordWrap/>
        <w:overflowPunct/>
        <w:topLinePunct w:val="0"/>
        <w:autoSpaceDE w:val="0"/>
        <w:autoSpaceDN w:val="0"/>
        <w:bidi w:val="0"/>
        <w:adjustRightInd w:val="0"/>
        <w:snapToGrid/>
        <w:spacing w:before="157" w:beforeLines="50" w:line="360" w:lineRule="auto"/>
        <w:jc w:val="center"/>
        <w:textAlignment w:val="auto"/>
        <w:rPr>
          <w:rFonts w:hint="eastAsia" w:asciiTheme="majorEastAsia" w:hAnsiTheme="majorEastAsia" w:eastAsiaTheme="majorEastAsia" w:cstheme="majorEastAsia"/>
          <w:b/>
          <w:bCs/>
          <w:sz w:val="21"/>
          <w:szCs w:val="21"/>
          <w:lang w:val="en-US" w:eastAsia="zh-CN"/>
        </w:rPr>
      </w:pPr>
      <w:bookmarkStart w:id="24" w:name="_GoBack"/>
      <w:bookmarkEnd w:id="24"/>
      <w:r>
        <w:rPr>
          <w:rFonts w:hint="eastAsia" w:asciiTheme="majorEastAsia" w:hAnsiTheme="majorEastAsia" w:eastAsiaTheme="majorEastAsia" w:cstheme="majorEastAsia"/>
          <w:b/>
          <w:bCs/>
          <w:color w:val="000000"/>
          <w:sz w:val="21"/>
          <w:szCs w:val="21"/>
          <w:lang w:val="en-US" w:eastAsia="zh-CN"/>
        </w:rPr>
        <w:t xml:space="preserve">表1 </w:t>
      </w:r>
      <w:r>
        <w:rPr>
          <w:rFonts w:hint="eastAsia" w:asciiTheme="majorEastAsia" w:hAnsiTheme="majorEastAsia" w:eastAsiaTheme="majorEastAsia" w:cstheme="majorEastAsia"/>
          <w:b/>
          <w:bCs/>
          <w:sz w:val="21"/>
          <w:szCs w:val="21"/>
        </w:rPr>
        <w:t xml:space="preserve"> </w:t>
      </w:r>
      <w:r>
        <w:rPr>
          <w:rFonts w:hint="eastAsia" w:asciiTheme="majorEastAsia" w:hAnsiTheme="majorEastAsia" w:eastAsiaTheme="majorEastAsia" w:cstheme="majorEastAsia"/>
          <w:b/>
          <w:bCs/>
          <w:sz w:val="21"/>
          <w:szCs w:val="21"/>
          <w:lang w:eastAsia="zh-CN"/>
        </w:rPr>
        <w:t>技术指南</w:t>
      </w:r>
      <w:r>
        <w:rPr>
          <w:rFonts w:hint="eastAsia" w:asciiTheme="majorEastAsia" w:hAnsiTheme="majorEastAsia" w:eastAsiaTheme="majorEastAsia" w:cstheme="majorEastAsia"/>
          <w:b/>
          <w:bCs/>
          <w:sz w:val="21"/>
          <w:szCs w:val="21"/>
          <w:lang w:val="en-US" w:eastAsia="zh-CN"/>
        </w:rPr>
        <w:t>编制人员分工表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2319"/>
        <w:gridCol w:w="763"/>
        <w:gridCol w:w="1304"/>
        <w:gridCol w:w="2862"/>
      </w:tblGrid>
      <w:tr w14:paraId="58AD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034" w:type="dxa"/>
            <w:vAlign w:val="center"/>
          </w:tcPr>
          <w:p w14:paraId="47960B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姓名</w:t>
            </w:r>
          </w:p>
        </w:tc>
        <w:tc>
          <w:tcPr>
            <w:tcW w:w="2319" w:type="dxa"/>
            <w:vAlign w:val="center"/>
          </w:tcPr>
          <w:p w14:paraId="4415BD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工作单位</w:t>
            </w:r>
          </w:p>
        </w:tc>
        <w:tc>
          <w:tcPr>
            <w:tcW w:w="763" w:type="dxa"/>
            <w:vAlign w:val="center"/>
          </w:tcPr>
          <w:p w14:paraId="6A11EA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性别</w:t>
            </w:r>
          </w:p>
        </w:tc>
        <w:tc>
          <w:tcPr>
            <w:tcW w:w="1304" w:type="dxa"/>
            <w:vAlign w:val="center"/>
          </w:tcPr>
          <w:p w14:paraId="52D815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职称</w:t>
            </w:r>
          </w:p>
        </w:tc>
        <w:tc>
          <w:tcPr>
            <w:tcW w:w="2862" w:type="dxa"/>
            <w:vAlign w:val="center"/>
          </w:tcPr>
          <w:p w14:paraId="28B312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本项目中承担的工作任务</w:t>
            </w:r>
          </w:p>
        </w:tc>
      </w:tr>
      <w:tr w14:paraId="1893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shd w:val="clear" w:color="auto" w:fill="auto"/>
            <w:vAlign w:val="center"/>
          </w:tcPr>
          <w:p w14:paraId="3B65E3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权旭东</w:t>
            </w:r>
          </w:p>
        </w:tc>
        <w:tc>
          <w:tcPr>
            <w:tcW w:w="2319" w:type="dxa"/>
            <w:shd w:val="clear" w:color="auto" w:fill="auto"/>
            <w:vAlign w:val="center"/>
          </w:tcPr>
          <w:p w14:paraId="5FDA6D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01B839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shd w:val="clear" w:color="auto" w:fill="auto"/>
            <w:vAlign w:val="center"/>
          </w:tcPr>
          <w:p w14:paraId="2F7DD7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62" w:type="dxa"/>
            <w:vAlign w:val="center"/>
          </w:tcPr>
          <w:p w14:paraId="611F17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主持并把握项目进度、协调人员、查阅整理相关文献资料</w:t>
            </w:r>
          </w:p>
        </w:tc>
      </w:tr>
      <w:tr w14:paraId="3027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shd w:val="clear" w:color="auto" w:fill="auto"/>
            <w:vAlign w:val="center"/>
          </w:tcPr>
          <w:p w14:paraId="7873C3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张淳</w:t>
            </w:r>
          </w:p>
        </w:tc>
        <w:tc>
          <w:tcPr>
            <w:tcW w:w="2319" w:type="dxa"/>
            <w:shd w:val="clear" w:color="auto" w:fill="auto"/>
            <w:vAlign w:val="center"/>
          </w:tcPr>
          <w:p w14:paraId="70D07B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2DE2A7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shd w:val="clear" w:color="auto" w:fill="auto"/>
            <w:vAlign w:val="center"/>
          </w:tcPr>
          <w:p w14:paraId="143B6BE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62" w:type="dxa"/>
            <w:shd w:val="clear" w:color="auto" w:fill="auto"/>
            <w:vAlign w:val="center"/>
          </w:tcPr>
          <w:p w14:paraId="7696B6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根据行业实地考察、整理分析相关数据、草案编制</w:t>
            </w:r>
          </w:p>
        </w:tc>
      </w:tr>
      <w:tr w14:paraId="12DD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shd w:val="clear" w:color="auto" w:fill="auto"/>
            <w:vAlign w:val="center"/>
          </w:tcPr>
          <w:p w14:paraId="6515A0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王彬蔚</w:t>
            </w:r>
          </w:p>
        </w:tc>
        <w:tc>
          <w:tcPr>
            <w:tcW w:w="2319" w:type="dxa"/>
            <w:shd w:val="clear" w:color="auto" w:fill="auto"/>
            <w:vAlign w:val="center"/>
          </w:tcPr>
          <w:p w14:paraId="532B5C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西安市环境保护科学研究院</w:t>
            </w:r>
          </w:p>
        </w:tc>
        <w:tc>
          <w:tcPr>
            <w:tcW w:w="763" w:type="dxa"/>
            <w:shd w:val="clear" w:color="auto" w:fill="auto"/>
            <w:vAlign w:val="center"/>
          </w:tcPr>
          <w:p w14:paraId="6EC7F94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t>女</w:t>
            </w:r>
          </w:p>
        </w:tc>
        <w:tc>
          <w:tcPr>
            <w:tcW w:w="1304" w:type="dxa"/>
            <w:shd w:val="clear" w:color="auto" w:fill="auto"/>
            <w:vAlign w:val="center"/>
          </w:tcPr>
          <w:p w14:paraId="0B4F3B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62" w:type="dxa"/>
            <w:vAlign w:val="center"/>
          </w:tcPr>
          <w:p w14:paraId="4A6463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63ABE8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37AF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shd w:val="clear" w:color="auto" w:fill="auto"/>
            <w:vAlign w:val="center"/>
          </w:tcPr>
          <w:p w14:paraId="7E8416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赵明</w:t>
            </w:r>
          </w:p>
        </w:tc>
        <w:tc>
          <w:tcPr>
            <w:tcW w:w="2319" w:type="dxa"/>
            <w:vAlign w:val="center"/>
          </w:tcPr>
          <w:p w14:paraId="70EC65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榆林市环境监测总站</w:t>
            </w:r>
          </w:p>
        </w:tc>
        <w:tc>
          <w:tcPr>
            <w:tcW w:w="763" w:type="dxa"/>
            <w:vAlign w:val="center"/>
          </w:tcPr>
          <w:p w14:paraId="420118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vAlign w:val="center"/>
          </w:tcPr>
          <w:p w14:paraId="77FDB9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助理工程师</w:t>
            </w:r>
          </w:p>
        </w:tc>
        <w:tc>
          <w:tcPr>
            <w:tcW w:w="2862" w:type="dxa"/>
            <w:vAlign w:val="center"/>
          </w:tcPr>
          <w:p w14:paraId="373632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根据行业实地考察、整理分析相关数据、草案编制</w:t>
            </w:r>
          </w:p>
        </w:tc>
      </w:tr>
      <w:tr w14:paraId="4E9A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shd w:val="clear" w:color="auto" w:fill="auto"/>
            <w:vAlign w:val="center"/>
          </w:tcPr>
          <w:p w14:paraId="265D7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高艳芬</w:t>
            </w:r>
          </w:p>
        </w:tc>
        <w:tc>
          <w:tcPr>
            <w:tcW w:w="2319" w:type="dxa"/>
            <w:vAlign w:val="center"/>
          </w:tcPr>
          <w:p w14:paraId="7170A4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vAlign w:val="center"/>
          </w:tcPr>
          <w:p w14:paraId="7C348D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女</w:t>
            </w:r>
          </w:p>
        </w:tc>
        <w:tc>
          <w:tcPr>
            <w:tcW w:w="1304" w:type="dxa"/>
            <w:vAlign w:val="center"/>
          </w:tcPr>
          <w:p w14:paraId="5E235B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副站长</w:t>
            </w:r>
          </w:p>
        </w:tc>
        <w:tc>
          <w:tcPr>
            <w:tcW w:w="2862" w:type="dxa"/>
            <w:vAlign w:val="center"/>
          </w:tcPr>
          <w:p w14:paraId="04E777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根据行业实地考察、整理分析相关数据、草案编制。</w:t>
            </w:r>
          </w:p>
        </w:tc>
      </w:tr>
      <w:tr w14:paraId="450F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shd w:val="clear" w:color="auto" w:fill="auto"/>
            <w:vAlign w:val="center"/>
          </w:tcPr>
          <w:p w14:paraId="3E1FE0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imes New Roman"/>
                <w:color w:val="auto"/>
                <w:highlight w:val="none"/>
              </w:rPr>
              <w:t>常峰</w:t>
            </w:r>
          </w:p>
        </w:tc>
        <w:tc>
          <w:tcPr>
            <w:tcW w:w="2319" w:type="dxa"/>
            <w:vAlign w:val="center"/>
          </w:tcPr>
          <w:p w14:paraId="5876D4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榆林市环境监测总站</w:t>
            </w:r>
          </w:p>
        </w:tc>
        <w:tc>
          <w:tcPr>
            <w:tcW w:w="763" w:type="dxa"/>
            <w:vAlign w:val="center"/>
          </w:tcPr>
          <w:p w14:paraId="299369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vAlign w:val="center"/>
          </w:tcPr>
          <w:p w14:paraId="4D06C3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62" w:type="dxa"/>
            <w:vAlign w:val="center"/>
          </w:tcPr>
          <w:p w14:paraId="2CBF75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根据行业实地考察、整理分析相关数据、草案编制</w:t>
            </w:r>
          </w:p>
        </w:tc>
      </w:tr>
      <w:tr w14:paraId="738D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6DAB27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杨旭东</w:t>
            </w:r>
          </w:p>
        </w:tc>
        <w:tc>
          <w:tcPr>
            <w:tcW w:w="2319" w:type="dxa"/>
            <w:vAlign w:val="center"/>
          </w:tcPr>
          <w:p w14:paraId="2ED46C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vAlign w:val="center"/>
          </w:tcPr>
          <w:p w14:paraId="6ABD0C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vAlign w:val="center"/>
          </w:tcPr>
          <w:p w14:paraId="1D6F4B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62" w:type="dxa"/>
            <w:vAlign w:val="center"/>
          </w:tcPr>
          <w:p w14:paraId="00A2BB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根据行业实地考察、整理分析相关数据、草案编制</w:t>
            </w:r>
          </w:p>
        </w:tc>
      </w:tr>
      <w:tr w14:paraId="5B85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shd w:val="clear" w:color="auto" w:fill="auto"/>
            <w:vAlign w:val="center"/>
          </w:tcPr>
          <w:p w14:paraId="024C98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王韶</w:t>
            </w:r>
          </w:p>
        </w:tc>
        <w:tc>
          <w:tcPr>
            <w:tcW w:w="2319" w:type="dxa"/>
            <w:shd w:val="clear" w:color="auto" w:fill="auto"/>
            <w:vAlign w:val="center"/>
          </w:tcPr>
          <w:p w14:paraId="3187E8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sz w:val="21"/>
                <w:szCs w:val="21"/>
                <w:lang w:val="en-US" w:eastAsia="zh-CN"/>
              </w:rPr>
              <w:t>陕西恒信检测有限公司</w:t>
            </w:r>
          </w:p>
        </w:tc>
        <w:tc>
          <w:tcPr>
            <w:tcW w:w="763" w:type="dxa"/>
            <w:shd w:val="clear" w:color="auto" w:fill="auto"/>
            <w:vAlign w:val="center"/>
          </w:tcPr>
          <w:p w14:paraId="1307F3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shd w:val="clear" w:color="auto" w:fill="auto"/>
            <w:vAlign w:val="center"/>
          </w:tcPr>
          <w:p w14:paraId="48692D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62" w:type="dxa"/>
            <w:shd w:val="clear" w:color="auto" w:fill="auto"/>
            <w:vAlign w:val="center"/>
          </w:tcPr>
          <w:p w14:paraId="6C2C11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查阅整理相关文献资料、提供实际验证设备、人员及车辆</w:t>
            </w:r>
          </w:p>
        </w:tc>
      </w:tr>
      <w:tr w14:paraId="0827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5D178E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胡岩</w:t>
            </w:r>
          </w:p>
        </w:tc>
        <w:tc>
          <w:tcPr>
            <w:tcW w:w="2319" w:type="dxa"/>
            <w:vAlign w:val="center"/>
          </w:tcPr>
          <w:p w14:paraId="1CCC24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vAlign w:val="center"/>
          </w:tcPr>
          <w:p w14:paraId="0FCFDD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vAlign w:val="center"/>
          </w:tcPr>
          <w:p w14:paraId="11F411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62" w:type="dxa"/>
            <w:vAlign w:val="center"/>
          </w:tcPr>
          <w:p w14:paraId="770328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2EBB4D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75DA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338E23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秦立栋</w:t>
            </w:r>
          </w:p>
        </w:tc>
        <w:tc>
          <w:tcPr>
            <w:tcW w:w="2319" w:type="dxa"/>
            <w:vAlign w:val="center"/>
          </w:tcPr>
          <w:p w14:paraId="27F5CA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vAlign w:val="center"/>
          </w:tcPr>
          <w:p w14:paraId="0E3D17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vAlign w:val="center"/>
          </w:tcPr>
          <w:p w14:paraId="3C908E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62" w:type="dxa"/>
            <w:vAlign w:val="center"/>
          </w:tcPr>
          <w:p w14:paraId="6F49BA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4417FC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24467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6675FA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葛毅</w:t>
            </w:r>
          </w:p>
        </w:tc>
        <w:tc>
          <w:tcPr>
            <w:tcW w:w="2319" w:type="dxa"/>
            <w:shd w:val="clear" w:color="auto" w:fill="auto"/>
            <w:vAlign w:val="center"/>
          </w:tcPr>
          <w:p w14:paraId="798542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7F5900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shd w:val="clear" w:color="auto" w:fill="auto"/>
            <w:vAlign w:val="center"/>
          </w:tcPr>
          <w:p w14:paraId="2BBD24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62" w:type="dxa"/>
            <w:shd w:val="clear" w:color="auto" w:fill="auto"/>
            <w:vAlign w:val="center"/>
          </w:tcPr>
          <w:p w14:paraId="06BC8E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272890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3BE5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shd w:val="clear" w:color="auto" w:fill="auto"/>
            <w:vAlign w:val="center"/>
          </w:tcPr>
          <w:p w14:paraId="0D1CD5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康巍</w:t>
            </w:r>
          </w:p>
        </w:tc>
        <w:tc>
          <w:tcPr>
            <w:tcW w:w="2319" w:type="dxa"/>
            <w:shd w:val="clear" w:color="auto" w:fill="auto"/>
            <w:vAlign w:val="center"/>
          </w:tcPr>
          <w:p w14:paraId="1D8F8A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07FA65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shd w:val="clear" w:color="auto" w:fill="auto"/>
            <w:vAlign w:val="center"/>
          </w:tcPr>
          <w:p w14:paraId="6EB7FE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62" w:type="dxa"/>
            <w:shd w:val="clear" w:color="auto" w:fill="auto"/>
            <w:vAlign w:val="center"/>
          </w:tcPr>
          <w:p w14:paraId="010FE2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61FF12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6311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745790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 xml:space="preserve">董丽娜 </w:t>
            </w:r>
          </w:p>
        </w:tc>
        <w:tc>
          <w:tcPr>
            <w:tcW w:w="2319" w:type="dxa"/>
            <w:shd w:val="clear" w:color="auto" w:fill="auto"/>
            <w:vAlign w:val="center"/>
          </w:tcPr>
          <w:p w14:paraId="603373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544121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女</w:t>
            </w:r>
          </w:p>
        </w:tc>
        <w:tc>
          <w:tcPr>
            <w:tcW w:w="1304" w:type="dxa"/>
            <w:shd w:val="clear" w:color="auto" w:fill="auto"/>
            <w:vAlign w:val="center"/>
          </w:tcPr>
          <w:p w14:paraId="26906A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62" w:type="dxa"/>
            <w:shd w:val="clear" w:color="auto" w:fill="auto"/>
            <w:vAlign w:val="center"/>
          </w:tcPr>
          <w:p w14:paraId="6062D6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18D33D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76DA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17CF9C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冯燕</w:t>
            </w:r>
          </w:p>
        </w:tc>
        <w:tc>
          <w:tcPr>
            <w:tcW w:w="2319" w:type="dxa"/>
            <w:shd w:val="clear" w:color="auto" w:fill="auto"/>
            <w:vAlign w:val="center"/>
          </w:tcPr>
          <w:p w14:paraId="7F68CB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7F820C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女</w:t>
            </w:r>
          </w:p>
        </w:tc>
        <w:tc>
          <w:tcPr>
            <w:tcW w:w="1304" w:type="dxa"/>
            <w:shd w:val="clear" w:color="auto" w:fill="auto"/>
            <w:vAlign w:val="center"/>
          </w:tcPr>
          <w:p w14:paraId="0E5E17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62" w:type="dxa"/>
            <w:shd w:val="clear" w:color="auto" w:fill="auto"/>
            <w:vAlign w:val="center"/>
          </w:tcPr>
          <w:p w14:paraId="0FA5A2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178755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052F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shd w:val="clear" w:color="auto" w:fill="auto"/>
            <w:vAlign w:val="center"/>
          </w:tcPr>
          <w:p w14:paraId="439648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default"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t>吴阳</w:t>
            </w:r>
          </w:p>
        </w:tc>
        <w:tc>
          <w:tcPr>
            <w:tcW w:w="2319" w:type="dxa"/>
            <w:shd w:val="clear" w:color="auto" w:fill="auto"/>
            <w:vAlign w:val="center"/>
          </w:tcPr>
          <w:p w14:paraId="5BA0AA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西安市环境保护科学研究院</w:t>
            </w:r>
          </w:p>
        </w:tc>
        <w:tc>
          <w:tcPr>
            <w:tcW w:w="763" w:type="dxa"/>
            <w:shd w:val="clear" w:color="auto" w:fill="auto"/>
            <w:vAlign w:val="center"/>
          </w:tcPr>
          <w:p w14:paraId="427EA8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304" w:type="dxa"/>
            <w:shd w:val="clear" w:color="auto" w:fill="auto"/>
            <w:vAlign w:val="center"/>
          </w:tcPr>
          <w:p w14:paraId="1CF54F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62" w:type="dxa"/>
            <w:vAlign w:val="center"/>
          </w:tcPr>
          <w:p w14:paraId="7F3C881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584400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bl>
    <w:p w14:paraId="3FBFC29D">
      <w:pPr>
        <w:widowControl/>
        <w:autoSpaceDE w:val="0"/>
        <w:autoSpaceDN w:val="0"/>
        <w:spacing w:before="680" w:after="0" w:line="312" w:lineRule="exact"/>
        <w:ind w:left="0" w:leftChars="0" w:right="0" w:firstLine="0" w:firstLineChars="0"/>
        <w:jc w:val="left"/>
        <w:outlineLvl w:val="0"/>
        <w:rPr>
          <w:rFonts w:hint="eastAsia" w:ascii="黑体" w:hAnsi="黑体" w:eastAsia="黑体" w:cs="黑体"/>
          <w:sz w:val="21"/>
          <w:szCs w:val="21"/>
        </w:rPr>
      </w:pPr>
      <w:r>
        <w:rPr>
          <w:rFonts w:hint="eastAsia" w:ascii="黑体" w:hAnsi="黑体" w:eastAsia="黑体" w:cs="黑体"/>
          <w:b/>
          <w:color w:val="000000"/>
          <w:sz w:val="21"/>
          <w:szCs w:val="21"/>
          <w:lang w:val="en-US" w:eastAsia="zh-CN"/>
        </w:rPr>
        <w:t>2 标准编</w:t>
      </w:r>
      <w:r>
        <w:rPr>
          <w:rFonts w:hint="eastAsia" w:ascii="黑体" w:hAnsi="黑体" w:eastAsia="黑体" w:cs="黑体"/>
          <w:b/>
          <w:color w:val="000000"/>
          <w:sz w:val="21"/>
          <w:szCs w:val="21"/>
        </w:rPr>
        <w:t>制的必要性</w:t>
      </w:r>
      <w:bookmarkEnd w:id="8"/>
      <w:bookmarkEnd w:id="9"/>
    </w:p>
    <w:p w14:paraId="297B7FCA">
      <w:pPr>
        <w:keepNext w:val="0"/>
        <w:keepLines w:val="0"/>
        <w:pageBreakBefore w:val="0"/>
        <w:widowControl/>
        <w:kinsoku/>
        <w:wordWrap/>
        <w:overflowPunct/>
        <w:topLinePunct w:val="0"/>
        <w:autoSpaceDE w:val="0"/>
        <w:autoSpaceDN w:val="0"/>
        <w:bidi w:val="0"/>
        <w:adjustRightInd/>
        <w:snapToGrid/>
        <w:spacing w:after="0" w:line="480" w:lineRule="exact"/>
        <w:ind w:right="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为落实《中华人民共和国环境保护法》、《中华人民共和国大气污染防治法》和《中华人民共和国水污染防治法》，原中国环境保护部印发了《国家重点监控企业自行监测及信息公开办法（试行）》（环发〔2013〕81号），原陕西省环境保护厅印发了《关于进一步加强全省重点排污单位自行监测和监督性监测及信息公开工作的通知》（陕环监测函〔2018〕58号），要求排污单位开展自行监测。</w:t>
      </w:r>
    </w:p>
    <w:p w14:paraId="7CF9AB3E">
      <w:pPr>
        <w:keepNext w:val="0"/>
        <w:keepLines w:val="0"/>
        <w:pageBreakBefore w:val="0"/>
        <w:widowControl/>
        <w:tabs>
          <w:tab w:val="left" w:pos="0"/>
        </w:tabs>
        <w:kinsoku/>
        <w:wordWrap/>
        <w:overflowPunct/>
        <w:topLinePunct w:val="0"/>
        <w:autoSpaceDE w:val="0"/>
        <w:autoSpaceDN w:val="0"/>
        <w:bidi w:val="0"/>
        <w:adjustRightInd/>
        <w:snapToGrid/>
        <w:spacing w:after="0" w:line="480" w:lineRule="exact"/>
        <w:ind w:left="17" w:leftChars="8" w:right="0" w:firstLine="363" w:firstLineChars="173"/>
        <w:jc w:val="both"/>
        <w:textAlignment w:val="auto"/>
        <w:rPr>
          <w:rFonts w:hint="eastAsia" w:ascii="Times New Roman" w:hAnsi="Times New Roman" w:eastAsia="仿宋_GB2312" w:cs="Times New Roman"/>
          <w:sz w:val="24"/>
          <w:szCs w:val="24"/>
          <w:lang w:eastAsia="zh-CN"/>
        </w:rPr>
      </w:pPr>
      <w:r>
        <w:rPr>
          <w:rFonts w:hint="eastAsia" w:ascii="宋体" w:hAnsi="宋体" w:eastAsia="宋体" w:cs="宋体"/>
          <w:sz w:val="21"/>
          <w:szCs w:val="21"/>
        </w:rPr>
        <w:t>为指导和规范排污单位开展自行监测，生态环境部于2017年起发布了《排污单位自行监测技术指南 总则》（HJ 819-2017）及一系列的行业自行监测技术指南，但是针对我省特有的</w:t>
      </w:r>
      <w:r>
        <w:rPr>
          <w:rFonts w:hint="eastAsia" w:ascii="宋体" w:hAnsi="宋体" w:eastAsia="宋体" w:cs="宋体"/>
          <w:sz w:val="21"/>
          <w:szCs w:val="21"/>
          <w:lang w:eastAsia="zh-CN"/>
        </w:rPr>
        <w:t>兰炭</w:t>
      </w:r>
      <w:r>
        <w:rPr>
          <w:rFonts w:hint="eastAsia" w:ascii="宋体" w:hAnsi="宋体" w:eastAsia="宋体" w:cs="宋体"/>
          <w:sz w:val="21"/>
          <w:szCs w:val="21"/>
        </w:rPr>
        <w:t>工业，尚未制定其行业自行监测技术指南，目前仍然依据《总则》（HJ 819-2017）进行。鉴于《总则》中并未明确针对</w:t>
      </w:r>
      <w:r>
        <w:rPr>
          <w:rFonts w:hint="eastAsia" w:ascii="宋体" w:hAnsi="宋体" w:eastAsia="宋体" w:cs="宋体"/>
          <w:sz w:val="21"/>
          <w:szCs w:val="21"/>
          <w:lang w:eastAsia="zh-CN"/>
        </w:rPr>
        <w:t>兰炭</w:t>
      </w:r>
      <w:r>
        <w:rPr>
          <w:rFonts w:hint="eastAsia" w:ascii="宋体" w:hAnsi="宋体" w:eastAsia="宋体" w:cs="宋体"/>
          <w:sz w:val="21"/>
          <w:szCs w:val="21"/>
        </w:rPr>
        <w:t>炉顶、无组织排放及熄焦循环水等排污点位的监测方法。为了进一步明确和细化对</w:t>
      </w:r>
      <w:r>
        <w:rPr>
          <w:rFonts w:hint="eastAsia" w:ascii="宋体" w:hAnsi="宋体" w:eastAsia="宋体" w:cs="宋体"/>
          <w:sz w:val="21"/>
          <w:szCs w:val="21"/>
          <w:lang w:eastAsia="zh-CN"/>
        </w:rPr>
        <w:t>兰炭</w:t>
      </w:r>
      <w:r>
        <w:rPr>
          <w:rFonts w:hint="eastAsia" w:ascii="宋体" w:hAnsi="宋体" w:eastAsia="宋体" w:cs="宋体"/>
          <w:sz w:val="21"/>
          <w:szCs w:val="21"/>
        </w:rPr>
        <w:t>工业排污单位自行监测行为的指导，支撑工业企业排污许可制度的落实，拟在总结长期对</w:t>
      </w:r>
      <w:r>
        <w:rPr>
          <w:rFonts w:hint="eastAsia" w:ascii="宋体" w:hAnsi="宋体" w:eastAsia="宋体" w:cs="宋体"/>
          <w:sz w:val="21"/>
          <w:szCs w:val="21"/>
          <w:lang w:eastAsia="zh-CN"/>
        </w:rPr>
        <w:t>兰炭</w:t>
      </w:r>
      <w:r>
        <w:rPr>
          <w:rFonts w:hint="eastAsia" w:ascii="宋体" w:hAnsi="宋体" w:eastAsia="宋体" w:cs="宋体"/>
          <w:sz w:val="21"/>
          <w:szCs w:val="21"/>
        </w:rPr>
        <w:t xml:space="preserve">工业环保验收监测、污染源监督性监测及自行监测监督检查的经验基础上，制定陕西省地方标准《排污单位自行监测技术指南 </w:t>
      </w:r>
      <w:r>
        <w:rPr>
          <w:rFonts w:hint="eastAsia" w:ascii="宋体" w:hAnsi="宋体" w:eastAsia="宋体" w:cs="宋体"/>
          <w:sz w:val="21"/>
          <w:szCs w:val="21"/>
          <w:lang w:eastAsia="zh-CN"/>
        </w:rPr>
        <w:t>兰炭</w:t>
      </w:r>
      <w:r>
        <w:rPr>
          <w:rFonts w:hint="eastAsia" w:ascii="宋体" w:hAnsi="宋体" w:eastAsia="宋体" w:cs="宋体"/>
          <w:sz w:val="21"/>
          <w:szCs w:val="21"/>
        </w:rPr>
        <w:t>工业》</w:t>
      </w:r>
      <w:r>
        <w:rPr>
          <w:rFonts w:hint="eastAsia" w:ascii="宋体" w:hAnsi="宋体" w:eastAsia="宋体" w:cs="宋体"/>
          <w:sz w:val="21"/>
          <w:szCs w:val="21"/>
          <w:lang w:eastAsia="zh-CN"/>
        </w:rPr>
        <w:t>。</w:t>
      </w:r>
    </w:p>
    <w:p w14:paraId="745830F6">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2.1 编制本指南是排污企业自行监测的迫切需要</w:t>
      </w:r>
    </w:p>
    <w:p w14:paraId="6D2C50CE">
      <w:pPr>
        <w:keepNext w:val="0"/>
        <w:keepLines w:val="0"/>
        <w:pageBreakBefore w:val="0"/>
        <w:widowControl w:val="0"/>
        <w:kinsoku/>
        <w:wordWrap/>
        <w:overflowPunct/>
        <w:topLinePunct w:val="0"/>
        <w:autoSpaceDE/>
        <w:autoSpaceDN/>
        <w:bidi w:val="0"/>
        <w:adjustRightInd/>
        <w:snapToGrid/>
        <w:spacing w:before="313" w:beforeLines="100" w:line="440" w:lineRule="exact"/>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十三五”以来，国家关于重点排污企业的监管，逐步明确了排污单位的主体责任，相继出台了《国家重点监控企业自行监测及信息公开办法（试行）》（环发〔2013〕81号），《排污企业自行监测技术指南》（HJ819-2017），重点强化企业的自行监测行为，污染源的日常监测由企业自行负责，企业按照相关技术指南和标准要求，编制年度监测计划，定期开展污染物监测，并将监测数据向社会公开，自行监测不断加强。而对于占相当规模的兰炭行业，由于缺乏有针对性的技术指南，各企业监测点位、监测因子、监测频次均不统一，自行监测整体执行情况较其他行业明显偏差。通过陕西省环境监测中心站开展的陕西省2020年的排污企业自行监测专项检查（检查包括11家兰炭企业，占检查企业总数的13.4%），结果表明我省兰炭行业的自行监测整体开展情况中，基本指南和较为规范的比例为72.8%，比所有检查的企业的93.9%有明显的差距。故本标准的制定，将对我国众多兰炭企业自行监测的有效性开展起到极大的指导和规范作用。</w:t>
      </w:r>
    </w:p>
    <w:p w14:paraId="52E6440D">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2.2编制本指南是各级生态环境主管部门开展日常监管的需要</w:t>
      </w:r>
    </w:p>
    <w:p w14:paraId="31B21EA5">
      <w:pPr>
        <w:keepNext w:val="0"/>
        <w:keepLines w:val="0"/>
        <w:pageBreakBefore w:val="0"/>
        <w:widowControl w:val="0"/>
        <w:kinsoku/>
        <w:wordWrap/>
        <w:overflowPunct/>
        <w:topLinePunct w:val="0"/>
        <w:autoSpaceDE/>
        <w:autoSpaceDN/>
        <w:bidi w:val="0"/>
        <w:adjustRightInd/>
        <w:snapToGrid/>
        <w:spacing w:before="313" w:beforeLines="100" w:line="440" w:lineRule="exact"/>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十三五”以来，国家关于重点排污企业的监管，逐步明确了排污单位的主体责任，相继出台了《国家重点监控企业自行监测及信息公开办法（试行）》（环发〔2013〕81号），《排污企业自行监测技术指南》（HJ819-2017），重点强化企业的自行监测行为，同时生态环境保护部门由以前的主动监测监管行为，转化为监督检查，工作性质以监督行为为主。之前各级生态环境主管部门，针对兰炭行业开展的自行监测相关检查，由于缺乏指导性规范，很难对相关企业自行监测开展情况做到准确、统一的评判。故本指南的编制，将使我国各级生态环境主管部门，在针对相关行业排污企业开展自行监测检查时，能有统一的尺度和准确的评判依据。</w:t>
      </w:r>
    </w:p>
    <w:p w14:paraId="37D1E9AB">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2.3编制本指南是提升兰炭行业自行监测整体水平的需要</w:t>
      </w:r>
    </w:p>
    <w:p w14:paraId="09536873">
      <w:pPr>
        <w:keepNext w:val="0"/>
        <w:keepLines w:val="0"/>
        <w:pageBreakBefore w:val="0"/>
        <w:widowControl w:val="0"/>
        <w:kinsoku/>
        <w:wordWrap/>
        <w:overflowPunct/>
        <w:topLinePunct w:val="0"/>
        <w:autoSpaceDE/>
        <w:autoSpaceDN/>
        <w:bidi w:val="0"/>
        <w:adjustRightInd/>
        <w:snapToGrid/>
        <w:spacing w:before="313" w:beforeLines="100" w:line="440" w:lineRule="exact"/>
        <w:ind w:firstLine="420" w:firstLineChars="200"/>
        <w:jc w:val="left"/>
        <w:textAlignment w:val="auto"/>
        <w:rPr>
          <w:rFonts w:hint="eastAsia" w:ascii="Times New Roman" w:hAnsi="Times New Roman" w:eastAsia="仿宋_GB2312"/>
          <w:sz w:val="24"/>
          <w:lang w:val="en-US" w:eastAsia="zh-CN"/>
        </w:rPr>
      </w:pPr>
      <w:r>
        <w:rPr>
          <w:rFonts w:hint="eastAsia" w:ascii="宋体" w:hAnsi="宋体" w:eastAsia="宋体" w:cs="宋体"/>
          <w:sz w:val="21"/>
          <w:szCs w:val="21"/>
          <w:lang w:val="en-US" w:eastAsia="zh-CN"/>
        </w:rPr>
        <w:t>“十三五”以来，随着自行监测在企业日常环保行为中越发重要，各级生态环境主管部门针对排污企业自行监测的检查也不断加强。据不完全统计，2019至2020年，生态环境部组织的针对陕西省的自行监测专项检查共有5批次，陕西省生态环境厅组织的针对全省的自行监测专项检查共有5批次。根据环境部、环境厅反馈的检查结果及有问题企业，兰炭行业均占有相当的比例。本指南的颁布，将极大的提升我国排污企业自行监测整体的水平。</w:t>
      </w:r>
    </w:p>
    <w:p w14:paraId="5F8F88E5">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outlineLvl w:val="0"/>
        <w:rPr>
          <w:rFonts w:hint="eastAsia" w:ascii="黑体" w:hAnsi="黑体" w:eastAsia="黑体" w:cs="黑体"/>
          <w:b/>
          <w:bCs/>
          <w:sz w:val="21"/>
          <w:szCs w:val="21"/>
          <w:lang w:val="en-US" w:eastAsia="zh-CN"/>
        </w:rPr>
      </w:pPr>
      <w:bookmarkStart w:id="10" w:name="_Toc11072"/>
      <w:bookmarkStart w:id="11" w:name="_Toc18663"/>
      <w:r>
        <w:rPr>
          <w:rFonts w:hint="eastAsia" w:ascii="黑体" w:hAnsi="黑体" w:eastAsia="黑体" w:cs="黑体"/>
          <w:b/>
          <w:bCs/>
          <w:sz w:val="21"/>
          <w:szCs w:val="21"/>
          <w:lang w:val="en-US" w:eastAsia="zh-CN"/>
        </w:rPr>
        <w:t>3 制定标准的原则和依据，与现行法律、法规、标准的关系</w:t>
      </w:r>
      <w:bookmarkEnd w:id="10"/>
      <w:bookmarkEnd w:id="11"/>
    </w:p>
    <w:p w14:paraId="40A57C96">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rPr>
          <w:rFonts w:hint="eastAsia" w:ascii="黑体" w:hAnsi="黑体" w:eastAsia="黑体" w:cs="黑体"/>
          <w:b/>
          <w:bCs/>
          <w:color w:val="auto"/>
          <w:sz w:val="21"/>
          <w:szCs w:val="21"/>
          <w:lang w:val="en-US" w:eastAsia="zh-CN"/>
        </w:rPr>
      </w:pPr>
      <w:r>
        <w:rPr>
          <w:rFonts w:hint="eastAsia" w:ascii="黑体" w:hAnsi="黑体" w:eastAsia="黑体" w:cs="黑体"/>
          <w:b/>
          <w:bCs/>
          <w:color w:val="auto"/>
          <w:sz w:val="21"/>
          <w:szCs w:val="21"/>
          <w:lang w:val="en-US" w:eastAsia="zh-CN"/>
        </w:rPr>
        <w:t>3.1制定标准的原则</w:t>
      </w:r>
    </w:p>
    <w:p w14:paraId="6667E5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仿宋_GB2312"/>
          <w:sz w:val="24"/>
          <w:lang w:val="en-US" w:eastAsia="zh-CN"/>
        </w:rPr>
      </w:pPr>
      <w:r>
        <w:rPr>
          <w:rFonts w:hint="eastAsia" w:ascii="宋体" w:hAnsi="宋体" w:eastAsia="宋体" w:cs="宋体"/>
          <w:sz w:val="21"/>
          <w:szCs w:val="21"/>
          <w:lang w:val="en-US" w:eastAsia="zh-CN"/>
        </w:rPr>
        <w:t>在标准编写过程中，项目编写组遵循“科学性、统一性、协调性、适用性、一致性和规范性”的原则。</w:t>
      </w:r>
    </w:p>
    <w:p w14:paraId="6BBC08C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3.1.1 科学性。在对企业实地调查的基础上，结合我省实际情况，结合相关国家标准、行业标准和地方标准确定本标准条款、技术参数等，确定本标准文件主要内容与主要指标。 </w:t>
      </w:r>
    </w:p>
    <w:p w14:paraId="0E79799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3.1.2 统一性。本标准做到标准结构、文体、术语、形式的统一。 </w:t>
      </w:r>
    </w:p>
    <w:p w14:paraId="7FB76A0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3.1.3 协调性。本标准内容符合国家法律、法规，与现行相关标准相协调。 </w:t>
      </w:r>
    </w:p>
    <w:p w14:paraId="3F5F6D6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3.1.4 适用性。本标准可操作性强，便于实施。 </w:t>
      </w:r>
    </w:p>
    <w:p w14:paraId="5DCA31C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3.1.5 一致性。本标准各部分之间，其结构及要素的表述均保持一致，各技术指标均来自于实地调查和实践数据分析，并结合现行有关标准的要求确定。</w:t>
      </w:r>
    </w:p>
    <w:p w14:paraId="17E8529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仿宋_GB2312"/>
          <w:sz w:val="24"/>
          <w:lang w:val="en-US" w:eastAsia="zh-CN"/>
        </w:rPr>
      </w:pPr>
      <w:r>
        <w:rPr>
          <w:rFonts w:hint="eastAsia" w:ascii="宋体" w:hAnsi="宋体" w:eastAsia="宋体" w:cs="宋体"/>
          <w:sz w:val="21"/>
          <w:szCs w:val="21"/>
          <w:lang w:val="en-US" w:eastAsia="zh-CN"/>
        </w:rPr>
        <w:t>3.1.6 规范性。本标准严格按照GB/T 1.1—2020《标准化工作导则  第1部分：标准化文件的结构和起草规则》给出的规则进行起草，文本格式规范。</w:t>
      </w:r>
      <w:r>
        <w:rPr>
          <w:rFonts w:hint="eastAsia" w:ascii="Times New Roman" w:hAnsi="Times New Roman" w:eastAsia="仿宋_GB2312"/>
          <w:sz w:val="24"/>
          <w:lang w:val="en-US" w:eastAsia="zh-CN"/>
        </w:rPr>
        <w:t xml:space="preserve"> </w:t>
      </w:r>
    </w:p>
    <w:p w14:paraId="275757E0">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440" w:lineRule="exact"/>
        <w:jc w:val="left"/>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3.2 国内外标准调研</w:t>
      </w:r>
    </w:p>
    <w:p w14:paraId="4BE95E27">
      <w:pPr>
        <w:keepNext w:val="0"/>
        <w:keepLines w:val="0"/>
        <w:pageBreakBefore w:val="0"/>
        <w:widowControl w:val="0"/>
        <w:kinsoku/>
        <w:wordWrap/>
        <w:overflowPunct/>
        <w:topLinePunct w:val="0"/>
        <w:autoSpaceDE/>
        <w:autoSpaceDN/>
        <w:bidi w:val="0"/>
        <w:adjustRightInd/>
        <w:snapToGrid/>
        <w:spacing w:before="313" w:beforeLines="100"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2017年6月实施的《排污单位自行监测技术指南 总则》（HJ 819-2017），提出了排污单位自行监测的一般要求、监测方案制定、监测质量保证和质量控制、信息记录和报告的基本内容和要求。此文件适用于无行业自行监测技术指南的排污单位。</w:t>
      </w:r>
    </w:p>
    <w:p w14:paraId="45DAD98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2018年8月实施的《排污单位自行监测技术指南 钢铁工业及炼焦化学工业》（HJ 878-2017），提出了钢铁工业及炼焦化学工业排污单位自行监测的一般要求、监测方案制定、信息记录和报告的基本内容和要求，此规范性文件并不适用于我省的兰炭工业。</w:t>
      </w:r>
    </w:p>
    <w:p w14:paraId="0C997FC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于我省特有的兰炭工业，其特有的兰炭炉顶、无组织排放及熄焦循环水等排污点位，国内尚无相关文件作出其自行监测的规范性要求，目前我省各兰炭企业自行监测仍遵循《总则》中相关要求开展工作，导致其自行监测报告中的监测点位、因子均不相同，整个行业的自行监测工作规范性远差于其他行业。</w:t>
      </w:r>
    </w:p>
    <w:p w14:paraId="6A362A0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仿宋_GB2312"/>
          <w:sz w:val="24"/>
          <w:lang w:val="en-US" w:eastAsia="zh-CN"/>
        </w:rPr>
      </w:pPr>
      <w:r>
        <w:rPr>
          <w:rFonts w:hint="eastAsia" w:ascii="宋体" w:hAnsi="宋体" w:eastAsia="宋体" w:cs="宋体"/>
          <w:sz w:val="21"/>
          <w:szCs w:val="21"/>
          <w:lang w:val="en-US" w:eastAsia="zh-CN"/>
        </w:rPr>
        <w:t>国外更无相关的技术指南和方法标准。</w:t>
      </w:r>
    </w:p>
    <w:p w14:paraId="00A4C0A8">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outlineLvl w:val="0"/>
        <w:rPr>
          <w:rFonts w:hint="eastAsia" w:ascii="黑体" w:hAnsi="黑体" w:eastAsia="黑体" w:cs="黑体"/>
          <w:b/>
          <w:bCs/>
          <w:color w:val="auto"/>
          <w:sz w:val="21"/>
          <w:szCs w:val="21"/>
          <w:lang w:val="en-US" w:eastAsia="zh-CN"/>
        </w:rPr>
      </w:pPr>
      <w:bookmarkStart w:id="12" w:name="_Toc18346"/>
      <w:bookmarkStart w:id="13" w:name="_Toc21165"/>
      <w:r>
        <w:rPr>
          <w:rFonts w:hint="eastAsia" w:ascii="黑体" w:hAnsi="黑体" w:eastAsia="黑体" w:cs="黑体"/>
          <w:b/>
          <w:bCs/>
          <w:color w:val="auto"/>
          <w:sz w:val="21"/>
          <w:szCs w:val="21"/>
          <w:lang w:val="en-US" w:eastAsia="zh-CN"/>
        </w:rPr>
        <w:t>4 主要内容说明</w:t>
      </w:r>
      <w:bookmarkEnd w:id="12"/>
      <w:bookmarkEnd w:id="13"/>
    </w:p>
    <w:p w14:paraId="69F79FCB">
      <w:pPr>
        <w:keepNext w:val="0"/>
        <w:keepLines w:val="0"/>
        <w:pageBreakBefore w:val="0"/>
        <w:widowControl w:val="0"/>
        <w:kinsoku/>
        <w:wordWrap/>
        <w:overflowPunct/>
        <w:topLinePunct w:val="0"/>
        <w:autoSpaceDE/>
        <w:autoSpaceDN/>
        <w:bidi w:val="0"/>
        <w:adjustRightInd/>
        <w:snapToGrid/>
        <w:spacing w:before="313" w:beforeLines="100" w:line="440" w:lineRule="exact"/>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本技术指南分为范围，规范性引用文件，术语和定义，自行监测的一般要求，监测方案的制定，信息记录和报告，以及其他共7个部分。</w:t>
      </w:r>
    </w:p>
    <w:p w14:paraId="3419404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范围章节内容阐述了本文件的内容组成及适用范围，具体内容为“本标准规定了兰炭工业排污单位自行监测的一般要求、监测方案制定、信息记录和报告的基本内容和要求。本标准适用于兰炭工业排污单位在生产运行阶段对其排放的水、气污染物，噪声以及对其周边环境质量影响开展监测。兰炭工业排污单位自备火力发电机组（厂）、配套动力锅炉的自行监测要求按照《排污企业自行监测技术指南 火力发电及锅炉》（HJ820-2017）中相关要求执行。”</w:t>
      </w:r>
    </w:p>
    <w:p w14:paraId="6E7C416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规范性引用文件章节列举了本技术指南文件引用的文件共30个，均为不注日期的引用文件，其最新版本（包括所有的修改单）适用于本文件。</w:t>
      </w:r>
    </w:p>
    <w:p w14:paraId="72B7AB7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术语和定义章节主要对兰炭、兰炭工业排污单位进行了说明。</w:t>
      </w:r>
    </w:p>
    <w:p w14:paraId="6D9A412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自行监测的一般要求的具体内容为“ 排污单位应查清本单位的污染源，污染物指标及潜在的环境影响，制定监测方案，设置和维护监测设施，按照监测方案开展自行监测，做好质量保证和质量控制，记录和保存监测数据和信息，依法向社会公开监测结果。”</w:t>
      </w:r>
    </w:p>
    <w:p w14:paraId="459BFF8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监测方案的制定章节主要内容包括废气排放监测、废水排放监测、厂界环境噪声监测、周边环境质量监测以及其他要求，对监测点位、监测指标及最低监测频次技术要求进行了规定。</w:t>
      </w:r>
    </w:p>
    <w:p w14:paraId="211CEFF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信息记录和报告章节，包括监测信息记录、生产和污染治理设施运行状况信息记录、一般工业固体废物和危险废物记录要求、信息报告、应急报告、信息公开的相关要求。</w:t>
      </w:r>
    </w:p>
    <w:p w14:paraId="67D2F40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其他章节的具体内容为“排污单位应如实记录手工监测期间的工况（包括生产负荷、污染治理设施运行情况等），确保监测数据具有代表性。本标准规定的内容外，按照 HJ 819 执行。”</w:t>
      </w:r>
    </w:p>
    <w:p w14:paraId="497F8795">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outlineLvl w:val="0"/>
        <w:rPr>
          <w:rFonts w:hint="eastAsia" w:ascii="黑体" w:hAnsi="黑体" w:eastAsia="黑体" w:cs="黑体"/>
          <w:b/>
          <w:bCs/>
          <w:sz w:val="21"/>
          <w:szCs w:val="21"/>
          <w:lang w:val="en-US" w:eastAsia="zh-CN"/>
        </w:rPr>
      </w:pPr>
      <w:bookmarkStart w:id="14" w:name="_Toc1175"/>
      <w:bookmarkStart w:id="15" w:name="_Toc31065"/>
      <w:r>
        <w:rPr>
          <w:rFonts w:hint="eastAsia" w:ascii="黑体" w:hAnsi="黑体" w:eastAsia="黑体" w:cs="黑体"/>
          <w:b/>
          <w:bCs/>
          <w:sz w:val="21"/>
          <w:szCs w:val="21"/>
          <w:lang w:val="en-US" w:eastAsia="zh-CN"/>
        </w:rPr>
        <w:t>5 重大意见分歧的处理依据和结果</w:t>
      </w:r>
      <w:bookmarkEnd w:id="14"/>
      <w:bookmarkEnd w:id="15"/>
    </w:p>
    <w:p w14:paraId="1D7E97B6">
      <w:pPr>
        <w:keepNext w:val="0"/>
        <w:keepLines w:val="0"/>
        <w:pageBreakBefore w:val="0"/>
        <w:widowControl w:val="0"/>
        <w:kinsoku/>
        <w:wordWrap/>
        <w:overflowPunct/>
        <w:topLinePunct w:val="0"/>
        <w:autoSpaceDE/>
        <w:autoSpaceDN/>
        <w:bidi w:val="0"/>
        <w:adjustRightInd/>
        <w:snapToGrid/>
        <w:spacing w:before="313" w:beforeLines="100" w:line="440" w:lineRule="exact"/>
        <w:ind w:firstLine="420" w:firstLineChars="200"/>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无</w:t>
      </w:r>
    </w:p>
    <w:p w14:paraId="2B7FC5F7">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outlineLvl w:val="0"/>
        <w:rPr>
          <w:rFonts w:hint="eastAsia" w:ascii="黑体" w:hAnsi="黑体" w:eastAsia="黑体" w:cs="黑体"/>
          <w:b/>
          <w:bCs/>
          <w:sz w:val="21"/>
          <w:szCs w:val="21"/>
          <w:highlight w:val="none"/>
          <w:lang w:val="en-US" w:eastAsia="zh-CN"/>
        </w:rPr>
      </w:pPr>
      <w:bookmarkStart w:id="16" w:name="_Toc21591"/>
      <w:bookmarkStart w:id="17" w:name="_Toc17273"/>
      <w:r>
        <w:rPr>
          <w:rFonts w:hint="eastAsia" w:ascii="黑体" w:hAnsi="黑体" w:eastAsia="黑体" w:cs="黑体"/>
          <w:b/>
          <w:bCs/>
          <w:sz w:val="21"/>
          <w:szCs w:val="21"/>
          <w:highlight w:val="none"/>
          <w:lang w:val="en-US" w:eastAsia="zh-CN"/>
        </w:rPr>
        <w:t>6 国际或国外标准的引用</w:t>
      </w:r>
      <w:bookmarkEnd w:id="16"/>
      <w:bookmarkEnd w:id="17"/>
    </w:p>
    <w:p w14:paraId="55DA8475">
      <w:pPr>
        <w:keepNext w:val="0"/>
        <w:keepLines w:val="0"/>
        <w:pageBreakBefore w:val="0"/>
        <w:widowControl w:val="0"/>
        <w:kinsoku/>
        <w:wordWrap/>
        <w:overflowPunct/>
        <w:topLinePunct w:val="0"/>
        <w:autoSpaceDE/>
        <w:autoSpaceDN/>
        <w:bidi w:val="0"/>
        <w:adjustRightInd/>
        <w:snapToGrid/>
        <w:spacing w:before="313" w:beforeLines="100"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兰炭工业排污单位自备火力发电机组（厂）、配套动力锅炉的自行监测要求按照《排污企业自行监测技术指南 火力发电及锅炉》（HJ820-2017）中相关要求执行。</w:t>
      </w:r>
    </w:p>
    <w:p w14:paraId="4FF24FED">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排污单位应按照 GB 16171、GB 28662、GB 28663、GB 28664、GB 28665、HJ/T 55 规定设置生产车间无组织排放监测点位。</w:t>
      </w:r>
    </w:p>
    <w:p w14:paraId="22E0ED61">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厂界环境噪声监测点位设置应遵循《排污单位自行监测技术指南  总则》（HJ819-2017）中的原则，主要考虑破碎设备、筛分设备、风机、空压机、水泵等噪声源在厂区内的分布情况。</w:t>
      </w:r>
    </w:p>
    <w:p w14:paraId="0A150CD4">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3.1“兰炭 semi-coke”的定义引用了 GB/T 25211的标准内容。</w:t>
      </w:r>
    </w:p>
    <w:p w14:paraId="0EF444C1">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5.1.1.3“表一 有组织废气监测点位、监测指标及最低监测频次”引用了 DB 61/T的标准内容。</w:t>
      </w:r>
    </w:p>
    <w:p w14:paraId="3028BB38">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5.4.2“无明确要求的，若排污单位认为有必要的，可对周边水、土壤、空气环境质量开展监测”引用了 HJ/T 164、HJ/T 166、HJ 610、HJ/T 2.3、HJ/T 91、 HJ 2.2、HJ/T 194、HJ 819的标准内容。</w:t>
      </w:r>
    </w:p>
    <w:p w14:paraId="028B262F">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信息报告、应急报告、信息公开章节中，“按照HJ819要求执行。本标准规定的内容外，按照HJ 819执行。”</w:t>
      </w:r>
    </w:p>
    <w:p w14:paraId="280C6A79">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outlineLvl w:val="0"/>
        <w:rPr>
          <w:rFonts w:hint="eastAsia" w:ascii="黑体" w:hAnsi="黑体" w:eastAsia="黑体" w:cs="黑体"/>
          <w:b/>
          <w:bCs/>
          <w:sz w:val="21"/>
          <w:szCs w:val="21"/>
          <w:lang w:val="en-US" w:eastAsia="zh-CN"/>
        </w:rPr>
      </w:pPr>
      <w:bookmarkStart w:id="18" w:name="_Toc31498"/>
      <w:bookmarkStart w:id="19" w:name="_Toc11206"/>
      <w:r>
        <w:rPr>
          <w:rFonts w:hint="eastAsia" w:ascii="黑体" w:hAnsi="黑体" w:eastAsia="黑体" w:cs="黑体"/>
          <w:b/>
          <w:bCs/>
          <w:sz w:val="21"/>
          <w:szCs w:val="21"/>
          <w:lang w:val="en-US" w:eastAsia="zh-CN"/>
        </w:rPr>
        <w:t>7 作为强制性标准的建议及理由</w:t>
      </w:r>
      <w:bookmarkEnd w:id="18"/>
      <w:bookmarkEnd w:id="19"/>
    </w:p>
    <w:p w14:paraId="0A2D4E0C">
      <w:pPr>
        <w:keepNext w:val="0"/>
        <w:keepLines w:val="0"/>
        <w:pageBreakBefore w:val="0"/>
        <w:widowControl w:val="0"/>
        <w:kinsoku/>
        <w:wordWrap/>
        <w:overflowPunct/>
        <w:topLinePunct w:val="0"/>
        <w:autoSpaceDE/>
        <w:autoSpaceDN/>
        <w:bidi w:val="0"/>
        <w:adjustRightInd/>
        <w:snapToGrid/>
        <w:spacing w:before="313" w:beforeLines="100" w:line="440" w:lineRule="exact"/>
        <w:ind w:firstLine="420" w:firstLineChars="200"/>
        <w:jc w:val="left"/>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本标准为推荐性标准。</w:t>
      </w:r>
    </w:p>
    <w:p w14:paraId="255260B9">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outlineLvl w:val="0"/>
        <w:rPr>
          <w:rFonts w:hint="eastAsia" w:ascii="黑体" w:hAnsi="黑体" w:eastAsia="黑体" w:cs="黑体"/>
          <w:b/>
          <w:bCs/>
          <w:sz w:val="21"/>
          <w:szCs w:val="21"/>
          <w:lang w:val="en-US" w:eastAsia="zh-CN"/>
        </w:rPr>
      </w:pPr>
      <w:bookmarkStart w:id="20" w:name="_Toc12868"/>
      <w:bookmarkStart w:id="21" w:name="_Toc12743"/>
      <w:r>
        <w:rPr>
          <w:rFonts w:hint="eastAsia" w:ascii="黑体" w:hAnsi="黑体" w:eastAsia="黑体" w:cs="黑体"/>
          <w:b/>
          <w:bCs/>
          <w:sz w:val="21"/>
          <w:szCs w:val="21"/>
          <w:lang w:val="en-US" w:eastAsia="zh-CN"/>
        </w:rPr>
        <w:t>8 贯彻标准的措施建议</w:t>
      </w:r>
      <w:bookmarkEnd w:id="20"/>
      <w:bookmarkEnd w:id="21"/>
    </w:p>
    <w:p w14:paraId="0A0F851F">
      <w:pPr>
        <w:keepNext w:val="0"/>
        <w:keepLines w:val="0"/>
        <w:pageBreakBefore w:val="0"/>
        <w:widowControl w:val="0"/>
        <w:kinsoku/>
        <w:wordWrap/>
        <w:overflowPunct/>
        <w:topLinePunct w:val="0"/>
        <w:autoSpaceDE/>
        <w:autoSpaceDN/>
        <w:bidi w:val="0"/>
        <w:adjustRightInd/>
        <w:snapToGrid/>
        <w:spacing w:before="313" w:beforeLines="100" w:line="440" w:lineRule="exact"/>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组织标准宣贯会，使相关人员及时了解、熟悉并执行标准；</w:t>
      </w:r>
    </w:p>
    <w:p w14:paraId="7D707B8A">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成立标准贯彻实施小组，进行明确的分工合作；</w:t>
      </w:r>
      <w:r>
        <w:rPr>
          <w:rFonts w:hint="eastAsia" w:asciiTheme="minorEastAsia" w:hAnsiTheme="minorEastAsia" w:eastAsiaTheme="minorEastAsia" w:cstheme="minorEastAsia"/>
          <w:b w:val="0"/>
          <w:bCs w:val="0"/>
          <w:sz w:val="21"/>
          <w:szCs w:val="21"/>
          <w:lang w:val="en-US" w:eastAsia="zh-CN"/>
        </w:rPr>
        <w:tab/>
      </w:r>
    </w:p>
    <w:p w14:paraId="630A4C18">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Times New Roman" w:hAnsi="Times New Roman" w:eastAsia="仿宋_GB2312"/>
          <w:b/>
          <w:bCs/>
          <w:sz w:val="28"/>
          <w:szCs w:val="28"/>
          <w:lang w:val="en-US" w:eastAsia="zh-CN"/>
        </w:rPr>
      </w:pPr>
      <w:r>
        <w:rPr>
          <w:rFonts w:hint="eastAsia" w:asciiTheme="minorEastAsia" w:hAnsiTheme="minorEastAsia" w:eastAsiaTheme="minorEastAsia" w:cstheme="minorEastAsia"/>
          <w:b w:val="0"/>
          <w:bCs w:val="0"/>
          <w:sz w:val="21"/>
          <w:szCs w:val="21"/>
          <w:lang w:val="en-US" w:eastAsia="zh-CN"/>
        </w:rPr>
        <w:t>由专人负责标准宣贯实施工作，做好标准宣贯记录，并进行长期的监督检查工作。</w:t>
      </w:r>
      <w:bookmarkStart w:id="22" w:name="_Toc26186"/>
      <w:bookmarkStart w:id="23" w:name="_Toc1791"/>
    </w:p>
    <w:p w14:paraId="3E3872E2">
      <w:pPr>
        <w:keepNext w:val="0"/>
        <w:keepLines w:val="0"/>
        <w:pageBreakBefore w:val="0"/>
        <w:widowControl w:val="0"/>
        <w:kinsoku/>
        <w:wordWrap/>
        <w:overflowPunct/>
        <w:topLinePunct w:val="0"/>
        <w:autoSpaceDE/>
        <w:autoSpaceDN/>
        <w:bidi w:val="0"/>
        <w:adjustRightInd/>
        <w:snapToGrid/>
        <w:spacing w:before="313" w:beforeLines="100" w:line="440" w:lineRule="exact"/>
        <w:jc w:val="left"/>
        <w:textAlignment w:val="auto"/>
        <w:outlineLvl w:val="0"/>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9 相关标准及参考文献</w:t>
      </w:r>
      <w:bookmarkEnd w:id="22"/>
      <w:bookmarkEnd w:id="23"/>
    </w:p>
    <w:p w14:paraId="1087CC80">
      <w:pPr>
        <w:keepNext w:val="0"/>
        <w:keepLines w:val="0"/>
        <w:pageBreakBefore w:val="0"/>
        <w:widowControl w:val="0"/>
        <w:kinsoku/>
        <w:wordWrap/>
        <w:overflowPunct/>
        <w:topLinePunct w:val="0"/>
        <w:autoSpaceDE/>
        <w:autoSpaceDN/>
        <w:bidi w:val="0"/>
        <w:adjustRightInd/>
        <w:snapToGrid/>
        <w:spacing w:before="157" w:beforeLines="50" w:line="400" w:lineRule="exact"/>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下列文件对于本文件的应用是必不可少的。凡是不注日期的引用文件，其最新版本（包括所有的修改单）适用于本文件。</w:t>
      </w:r>
    </w:p>
    <w:p w14:paraId="208DBD2B">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 13456     钢铁工业水污染物排放标准</w:t>
      </w:r>
    </w:p>
    <w:p w14:paraId="3B0EF9D7">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 16171     炼焦化学工业污染物排放标准</w:t>
      </w:r>
    </w:p>
    <w:p w14:paraId="2864F615">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 16297     大气污染物综合排放标准</w:t>
      </w:r>
    </w:p>
    <w:p w14:paraId="05A6075E">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GB/T 25211   半焦（兰炭）产品分类及质量要求</w:t>
      </w:r>
    </w:p>
    <w:p w14:paraId="172FA291">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GB/T 33961   炼焦废水处理技术规范</w:t>
      </w:r>
    </w:p>
    <w:p w14:paraId="25BFC4F3">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 37822     挥发性有机物无组织排放控制标准</w:t>
      </w:r>
    </w:p>
    <w:p w14:paraId="63269B04">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 2022      焦化废水治理工程技术规范</w:t>
      </w:r>
    </w:p>
    <w:p w14:paraId="3A381636">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 2.2        环境影响评价技术导则 大气环境</w:t>
      </w:r>
    </w:p>
    <w:p w14:paraId="6CF9B7C1">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HJ/T 2.3      环境影响评价技术导则 地面水环境</w:t>
      </w:r>
    </w:p>
    <w:p w14:paraId="430FFE43">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HJ/T 55      大气污染物无组织排放监测技术导则</w:t>
      </w:r>
    </w:p>
    <w:p w14:paraId="049DDE03">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HJ/T 91.2     地表水和污水监测技术规范</w:t>
      </w:r>
    </w:p>
    <w:p w14:paraId="73AE63AB">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HJ/T 92      水污染物排放总量监测技术规范</w:t>
      </w:r>
    </w:p>
    <w:p w14:paraId="1AB6EA44">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HJ/T 164     地下水环境监测技术规范</w:t>
      </w:r>
    </w:p>
    <w:p w14:paraId="0C14AD71">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HJ/T 166     土壤环境监测技术规范</w:t>
      </w:r>
    </w:p>
    <w:p w14:paraId="077B1E87">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HJ/T 194     环境空气质量手工监测技术规范</w:t>
      </w:r>
    </w:p>
    <w:p w14:paraId="47954C4D">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HJ/T 373     固定污染源监测质量保证及质量控制技术规范（试行）</w:t>
      </w:r>
    </w:p>
    <w:p w14:paraId="23123ECB">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HJ/T 397     固定源废气监测技术规范</w:t>
      </w:r>
    </w:p>
    <w:p w14:paraId="45C9B592">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 819      排污单位自行监测技术指南 总则</w:t>
      </w:r>
    </w:p>
    <w:p w14:paraId="23BC4260">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 820      排污单位自行监测技术指南 火力发电及锅炉</w:t>
      </w:r>
    </w:p>
    <w:p w14:paraId="66FE9877">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HJ878       排污单位自行监测技术指南 钢铁工业及炼焦化学工业</w:t>
      </w:r>
    </w:p>
    <w:p w14:paraId="3E2727EA">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HJ 1209     工业企业土壤和地下水自行监测 技术指南（试行）</w:t>
      </w:r>
    </w:p>
    <w:p w14:paraId="52220DFA">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DB 61/T 362  半焦（兰炭）工业竣工环境保护验收技术规范</w:t>
      </w:r>
    </w:p>
    <w:p w14:paraId="5D0BD552">
      <w:pPr>
        <w:jc w:val="left"/>
        <w:rPr>
          <w:rFonts w:hint="default" w:hAnsi="宋体"/>
          <w:szCs w:val="21"/>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4C3C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5D3D6F">
                          <w:pPr>
                            <w:pStyle w:val="3"/>
                            <w:rPr>
                              <w:sz w:val="21"/>
                              <w:szCs w:val="21"/>
                            </w:rPr>
                          </w:pP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3</w:t>
                          </w:r>
                          <w:r>
                            <w:rPr>
                              <w:sz w:val="21"/>
                              <w:szCs w:val="21"/>
                            </w:rPr>
                            <w:fldChar w:fldCharType="end"/>
                          </w:r>
                          <w:r>
                            <w:rPr>
                              <w:sz w:val="21"/>
                              <w:szCs w:val="21"/>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5D3D6F">
                    <w:pPr>
                      <w:pStyle w:val="3"/>
                      <w:rPr>
                        <w:sz w:val="21"/>
                        <w:szCs w:val="21"/>
                      </w:rPr>
                    </w:pP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3</w:t>
                    </w:r>
                    <w:r>
                      <w:rPr>
                        <w:sz w:val="21"/>
                        <w:szCs w:val="21"/>
                      </w:rPr>
                      <w:fldChar w:fldCharType="end"/>
                    </w:r>
                    <w:r>
                      <w:rPr>
                        <w:sz w:val="21"/>
                        <w:szCs w:val="21"/>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6260FA"/>
    <w:multiLevelType w:val="multilevel"/>
    <w:tmpl w:val="646260FA"/>
    <w:lvl w:ilvl="0" w:tentative="0">
      <w:start w:val="1"/>
      <w:numFmt w:val="decimal"/>
      <w:pStyle w:val="12"/>
      <w:suff w:val="nothing"/>
      <w:lvlText w:val="表%1　"/>
      <w:lvlJc w:val="left"/>
      <w:pPr>
        <w:ind w:left="6096" w:firstLine="0"/>
      </w:pPr>
      <w:rPr>
        <w:rFonts w:hint="eastAsia" w:ascii="黑体" w:hAnsi="Times New Roman" w:eastAsia="黑体"/>
        <w:b w:val="0"/>
        <w:i w:val="0"/>
        <w:sz w:val="21"/>
        <w:lang w:val="en-US"/>
      </w:rPr>
    </w:lvl>
    <w:lvl w:ilvl="1" w:tentative="0">
      <w:start w:val="1"/>
      <w:numFmt w:val="decimal"/>
      <w:lvlText w:val="%1.%2"/>
      <w:lvlJc w:val="left"/>
      <w:pPr>
        <w:tabs>
          <w:tab w:val="left" w:pos="-993"/>
        </w:tabs>
        <w:ind w:left="-993" w:hanging="567"/>
      </w:pPr>
      <w:rPr>
        <w:rFonts w:hint="eastAsia"/>
      </w:rPr>
    </w:lvl>
    <w:lvl w:ilvl="2" w:tentative="0">
      <w:start w:val="1"/>
      <w:numFmt w:val="decimal"/>
      <w:lvlText w:val="%1.%2.%3"/>
      <w:lvlJc w:val="left"/>
      <w:pPr>
        <w:tabs>
          <w:tab w:val="left" w:pos="-567"/>
        </w:tabs>
        <w:ind w:left="-567" w:hanging="567"/>
      </w:pPr>
      <w:rPr>
        <w:rFonts w:hint="eastAsia"/>
      </w:rPr>
    </w:lvl>
    <w:lvl w:ilvl="3" w:tentative="0">
      <w:start w:val="1"/>
      <w:numFmt w:val="decimal"/>
      <w:lvlText w:val="%1.%2.%3.%4"/>
      <w:lvlJc w:val="left"/>
      <w:pPr>
        <w:tabs>
          <w:tab w:val="left" w:pos="-1"/>
        </w:tabs>
        <w:ind w:left="-1" w:hanging="708"/>
      </w:pPr>
      <w:rPr>
        <w:rFonts w:hint="eastAsia"/>
      </w:rPr>
    </w:lvl>
    <w:lvl w:ilvl="4" w:tentative="0">
      <w:start w:val="1"/>
      <w:numFmt w:val="decimal"/>
      <w:lvlText w:val="%1.%2.%3.%4.%5"/>
      <w:lvlJc w:val="left"/>
      <w:pPr>
        <w:tabs>
          <w:tab w:val="left" w:pos="566"/>
        </w:tabs>
        <w:ind w:left="566" w:hanging="850"/>
      </w:pPr>
      <w:rPr>
        <w:rFonts w:hint="eastAsia"/>
      </w:rPr>
    </w:lvl>
    <w:lvl w:ilvl="5" w:tentative="0">
      <w:start w:val="1"/>
      <w:numFmt w:val="decimal"/>
      <w:lvlText w:val="%1.%2.%3.%4.%5.%6"/>
      <w:lvlJc w:val="left"/>
      <w:pPr>
        <w:tabs>
          <w:tab w:val="left" w:pos="1275"/>
        </w:tabs>
        <w:ind w:left="1275" w:hanging="1134"/>
      </w:pPr>
      <w:rPr>
        <w:rFonts w:hint="eastAsia"/>
      </w:rPr>
    </w:lvl>
    <w:lvl w:ilvl="6" w:tentative="0">
      <w:start w:val="1"/>
      <w:numFmt w:val="decimal"/>
      <w:lvlText w:val="%1.%2.%3.%4.%5.%6.%7"/>
      <w:lvlJc w:val="left"/>
      <w:pPr>
        <w:tabs>
          <w:tab w:val="left" w:pos="1842"/>
        </w:tabs>
        <w:ind w:left="1842" w:hanging="1276"/>
      </w:pPr>
      <w:rPr>
        <w:rFonts w:hint="eastAsia"/>
      </w:rPr>
    </w:lvl>
    <w:lvl w:ilvl="7" w:tentative="0">
      <w:start w:val="1"/>
      <w:numFmt w:val="decimal"/>
      <w:lvlText w:val="%1.%2.%3.%4.%5.%6.%7.%8"/>
      <w:lvlJc w:val="left"/>
      <w:pPr>
        <w:tabs>
          <w:tab w:val="left" w:pos="2409"/>
        </w:tabs>
        <w:ind w:left="2409" w:hanging="1418"/>
      </w:pPr>
      <w:rPr>
        <w:rFonts w:hint="eastAsia"/>
      </w:rPr>
    </w:lvl>
    <w:lvl w:ilvl="8" w:tentative="0">
      <w:start w:val="1"/>
      <w:numFmt w:val="decimal"/>
      <w:lvlText w:val="%1.%2.%3.%4.%5.%6.%7.%8.%9"/>
      <w:lvlJc w:val="left"/>
      <w:pPr>
        <w:tabs>
          <w:tab w:val="left" w:pos="3117"/>
        </w:tabs>
        <w:ind w:left="311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iNmI4MTNmNzRmMDFiNDA2OTllZjJiODY1MDdhYmIifQ=="/>
  </w:docVars>
  <w:rsids>
    <w:rsidRoot w:val="1F9D23AF"/>
    <w:rsid w:val="01626374"/>
    <w:rsid w:val="04385B91"/>
    <w:rsid w:val="0626635C"/>
    <w:rsid w:val="0661309E"/>
    <w:rsid w:val="0AE34B84"/>
    <w:rsid w:val="0C9276DA"/>
    <w:rsid w:val="0DE4626C"/>
    <w:rsid w:val="11056964"/>
    <w:rsid w:val="11511160"/>
    <w:rsid w:val="11CF4CF4"/>
    <w:rsid w:val="13232472"/>
    <w:rsid w:val="132B55CA"/>
    <w:rsid w:val="133D5304"/>
    <w:rsid w:val="143429E0"/>
    <w:rsid w:val="15E20BC5"/>
    <w:rsid w:val="175D4AA9"/>
    <w:rsid w:val="1A7A6538"/>
    <w:rsid w:val="1AB33345"/>
    <w:rsid w:val="1ADD03C2"/>
    <w:rsid w:val="1C042AFF"/>
    <w:rsid w:val="1D476B14"/>
    <w:rsid w:val="1D6C39E9"/>
    <w:rsid w:val="1DC553F5"/>
    <w:rsid w:val="1DD26AE5"/>
    <w:rsid w:val="1E081BFA"/>
    <w:rsid w:val="1E5E65D5"/>
    <w:rsid w:val="1F9D23AF"/>
    <w:rsid w:val="2144119B"/>
    <w:rsid w:val="21BC51D5"/>
    <w:rsid w:val="22A273FF"/>
    <w:rsid w:val="24600255"/>
    <w:rsid w:val="27F356C9"/>
    <w:rsid w:val="28C80903"/>
    <w:rsid w:val="2A3F69A3"/>
    <w:rsid w:val="2C011A48"/>
    <w:rsid w:val="2D222FC1"/>
    <w:rsid w:val="2EE93F37"/>
    <w:rsid w:val="3118764E"/>
    <w:rsid w:val="315D0B0B"/>
    <w:rsid w:val="32D81380"/>
    <w:rsid w:val="34C25743"/>
    <w:rsid w:val="350158F8"/>
    <w:rsid w:val="36331600"/>
    <w:rsid w:val="3793032E"/>
    <w:rsid w:val="3B6F289F"/>
    <w:rsid w:val="40401D76"/>
    <w:rsid w:val="414D4793"/>
    <w:rsid w:val="423729B6"/>
    <w:rsid w:val="433F1364"/>
    <w:rsid w:val="435C4BE2"/>
    <w:rsid w:val="43FB34E3"/>
    <w:rsid w:val="450704E9"/>
    <w:rsid w:val="46B83BA4"/>
    <w:rsid w:val="489A351F"/>
    <w:rsid w:val="4AE44DAD"/>
    <w:rsid w:val="4B5217BF"/>
    <w:rsid w:val="4DF07E31"/>
    <w:rsid w:val="4F3B1580"/>
    <w:rsid w:val="50AB29AE"/>
    <w:rsid w:val="52E74EC7"/>
    <w:rsid w:val="5573688D"/>
    <w:rsid w:val="55FB651C"/>
    <w:rsid w:val="561D562D"/>
    <w:rsid w:val="58F45AF8"/>
    <w:rsid w:val="5D1729D3"/>
    <w:rsid w:val="5DB824A2"/>
    <w:rsid w:val="5E95278C"/>
    <w:rsid w:val="5FFD3D35"/>
    <w:rsid w:val="60CD7F37"/>
    <w:rsid w:val="619222C7"/>
    <w:rsid w:val="62496F9E"/>
    <w:rsid w:val="6315416A"/>
    <w:rsid w:val="644F5459"/>
    <w:rsid w:val="655008CD"/>
    <w:rsid w:val="68AC0E2D"/>
    <w:rsid w:val="68DB4A72"/>
    <w:rsid w:val="6A576E16"/>
    <w:rsid w:val="6AD006A1"/>
    <w:rsid w:val="6C517895"/>
    <w:rsid w:val="6F7E3097"/>
    <w:rsid w:val="72261A5B"/>
    <w:rsid w:val="73953DC3"/>
    <w:rsid w:val="73DD612B"/>
    <w:rsid w:val="73FC0A2E"/>
    <w:rsid w:val="77A613DD"/>
    <w:rsid w:val="77FA34D6"/>
    <w:rsid w:val="7B1B5C3E"/>
    <w:rsid w:val="7B465BA7"/>
    <w:rsid w:val="7D6E7260"/>
    <w:rsid w:val="7DDF7153"/>
    <w:rsid w:val="7E8865C0"/>
    <w:rsid w:val="7ED67159"/>
    <w:rsid w:val="7EF92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
    <w:name w:val="WPSOffice手动目录 1"/>
    <w:qFormat/>
    <w:uiPriority w:val="0"/>
    <w:pPr>
      <w:ind w:leftChars="0"/>
    </w:pPr>
    <w:rPr>
      <w:rFonts w:asciiTheme="minorHAnsi" w:hAnsiTheme="minorHAnsi" w:eastAsiaTheme="minorEastAsia" w:cstheme="minorBidi"/>
      <w:sz w:val="20"/>
      <w:szCs w:val="20"/>
    </w:rPr>
  </w:style>
  <w:style w:type="paragraph" w:customStyle="1" w:styleId="11">
    <w:name w:val="Table Text"/>
    <w:basedOn w:val="1"/>
    <w:semiHidden/>
    <w:qFormat/>
    <w:uiPriority w:val="0"/>
    <w:rPr>
      <w:rFonts w:ascii="Times New Roman" w:hAnsi="Times New Roman" w:eastAsia="Times New Roman" w:cs="Times New Roman"/>
      <w:sz w:val="21"/>
      <w:szCs w:val="21"/>
      <w:lang w:val="en-US" w:eastAsia="en-US" w:bidi="ar-SA"/>
    </w:rPr>
  </w:style>
  <w:style w:type="paragraph" w:customStyle="1" w:styleId="12">
    <w:name w:val="正文表标题"/>
    <w:next w:val="13"/>
    <w:qFormat/>
    <w:uiPriority w:val="0"/>
    <w:pPr>
      <w:numPr>
        <w:ilvl w:val="0"/>
        <w:numId w:val="1"/>
      </w:numPr>
      <w:spacing w:before="156" w:beforeLines="50" w:after="156" w:afterLines="50"/>
      <w:jc w:val="center"/>
    </w:pPr>
    <w:rPr>
      <w:rFonts w:ascii="黑体" w:hAnsi="Times New Roman" w:eastAsia="黑体" w:cs="Times New Roman"/>
      <w:sz w:val="21"/>
      <w:lang w:val="en-US" w:eastAsia="zh-CN" w:bidi="ar-SA"/>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6089</Words>
  <Characters>6593</Characters>
  <Lines>0</Lines>
  <Paragraphs>0</Paragraphs>
  <TotalTime>53</TotalTime>
  <ScaleCrop>false</ScaleCrop>
  <LinksUpToDate>false</LinksUpToDate>
  <CharactersWithSpaces>6857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2024-04-09T01:39:00Z</dcterms:created>
  <dc:creator>飯</dc:creator>
  <cp:lastModifiedBy>张淳</cp:lastModifiedBy>
  <cp:lastPrinted>2024-12-09T09:29:00Z</cp:lastPrinted>
  <dcterms:modified xsi:type="dcterms:W3CDTF">2025-03-21T06:02:42Z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E810198062C74BDB8F654E346071AF19_13</vt:lpwstr>
  </property>
  <property fmtid="{D5CDD505-2E9C-101B-9397-08002B2CF9AE}" pid="4" name="KSOTemplateDocerSaveRecord">
    <vt:lpwstr>eyJoZGlkIjoiMTYyNjMxYjZiN2IyZjIyYWQ5YjE3OGQ4YTEyYjc2N2UiLCJ1c2VySWQiOiIyMjUzNzA4MjUifQ==</vt:lpwstr>
  </property>
</Properties>
</file>